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776F30C2" w:rsidR="00436D14" w:rsidRPr="00012637" w:rsidRDefault="00436D14" w:rsidP="00426458">
      <w:pPr>
        <w:widowControl w:val="0"/>
        <w:spacing w:line="360" w:lineRule="auto"/>
        <w:ind w:right="-164"/>
        <w:jc w:val="both"/>
        <w:rPr>
          <w:rFonts w:ascii="Palatino Linotype" w:eastAsia="Calibri" w:hAnsi="Palatino Linotype" w:cs="Arial"/>
          <w:b/>
          <w:color w:val="000000"/>
        </w:rPr>
      </w:pPr>
      <w:r w:rsidRPr="00012637">
        <w:rPr>
          <w:rFonts w:ascii="Palatino Linotype" w:hAnsi="Palatino Linotype" w:cs="Arial"/>
          <w:b/>
        </w:rPr>
        <w:t>OPINI</w:t>
      </w:r>
      <w:r w:rsidR="00875BD4" w:rsidRPr="00012637">
        <w:rPr>
          <w:rFonts w:ascii="Palatino Linotype" w:hAnsi="Palatino Linotype" w:cs="Arial"/>
          <w:b/>
        </w:rPr>
        <w:t>Ó</w:t>
      </w:r>
      <w:r w:rsidRPr="00012637">
        <w:rPr>
          <w:rFonts w:ascii="Palatino Linotype" w:hAnsi="Palatino Linotype" w:cs="Arial"/>
          <w:b/>
        </w:rPr>
        <w:t xml:space="preserve">N PARTICULAR QUE FORMULA LA COMISIONADA EVA ABAID YAPUR, EN RELACIÓN CON LA RESOLUCIÓN DICTADA POR EL PLENO DEL INSTITUTO DE TRANSPARENCIA, ACCESO A LA INFORMACIÓN PÚBLICA Y PROTECCIÓN DE DATOS PERSONALES DEL ESTADO DE MÉXICO Y MUNICIPIOS, EN LA </w:t>
      </w:r>
      <w:r w:rsidR="00C92380">
        <w:rPr>
          <w:rFonts w:ascii="Palatino Linotype" w:hAnsi="Palatino Linotype" w:cs="Arial"/>
          <w:b/>
        </w:rPr>
        <w:t>CUADRAGÉSIMA</w:t>
      </w:r>
      <w:r w:rsidR="00745414" w:rsidRPr="00012637">
        <w:rPr>
          <w:rFonts w:ascii="Palatino Linotype" w:hAnsi="Palatino Linotype" w:cs="Arial"/>
          <w:b/>
        </w:rPr>
        <w:t xml:space="preserve"> </w:t>
      </w:r>
      <w:r w:rsidR="00284013">
        <w:rPr>
          <w:rFonts w:ascii="Palatino Linotype" w:hAnsi="Palatino Linotype" w:cs="Arial"/>
          <w:b/>
        </w:rPr>
        <w:t>TERCERA</w:t>
      </w:r>
      <w:r w:rsidR="00D50660" w:rsidRPr="00012637">
        <w:rPr>
          <w:rFonts w:ascii="Palatino Linotype" w:hAnsi="Palatino Linotype" w:cs="Arial"/>
          <w:b/>
        </w:rPr>
        <w:t xml:space="preserve"> </w:t>
      </w:r>
      <w:r w:rsidRPr="00012637">
        <w:rPr>
          <w:rFonts w:ascii="Palatino Linotype" w:hAnsi="Palatino Linotype" w:cs="Arial"/>
          <w:b/>
        </w:rPr>
        <w:t xml:space="preserve">SESIÓN ORDINARIA DE </w:t>
      </w:r>
      <w:r w:rsidR="00284013">
        <w:rPr>
          <w:rFonts w:ascii="Palatino Linotype" w:hAnsi="Palatino Linotype" w:cs="Arial"/>
          <w:b/>
        </w:rPr>
        <w:t>VEINTIDÓS DE NOVIEMBRE</w:t>
      </w:r>
      <w:r w:rsidRPr="00012637">
        <w:rPr>
          <w:rFonts w:ascii="Palatino Linotype" w:hAnsi="Palatino Linotype" w:cs="Arial"/>
          <w:b/>
        </w:rPr>
        <w:t xml:space="preserve"> DE DOS MIL DIECIOCHO, EN </w:t>
      </w:r>
      <w:r w:rsidR="00284013">
        <w:rPr>
          <w:rFonts w:ascii="Palatino Linotype" w:hAnsi="Palatino Linotype" w:cs="Arial"/>
          <w:b/>
        </w:rPr>
        <w:t>LOS</w:t>
      </w:r>
      <w:r w:rsidRPr="00012637">
        <w:rPr>
          <w:rFonts w:ascii="Palatino Linotype" w:hAnsi="Palatino Linotype" w:cs="Arial"/>
          <w:b/>
        </w:rPr>
        <w:t xml:space="preserve"> RECURSO</w:t>
      </w:r>
      <w:r w:rsidR="00284013">
        <w:rPr>
          <w:rFonts w:ascii="Palatino Linotype" w:hAnsi="Palatino Linotype" w:cs="Arial"/>
          <w:b/>
        </w:rPr>
        <w:t>S</w:t>
      </w:r>
      <w:r w:rsidRPr="00012637">
        <w:rPr>
          <w:rFonts w:ascii="Palatino Linotype" w:hAnsi="Palatino Linotype" w:cs="Arial"/>
          <w:b/>
        </w:rPr>
        <w:t xml:space="preserve"> DE REVISIÓN </w:t>
      </w:r>
      <w:r w:rsidR="00284013">
        <w:rPr>
          <w:rFonts w:ascii="Palatino Linotype" w:hAnsi="Palatino Linotype" w:cs="Arial"/>
          <w:b/>
        </w:rPr>
        <w:t xml:space="preserve">ACUMULADOS </w:t>
      </w:r>
      <w:r w:rsidR="00284013" w:rsidRPr="00284013">
        <w:rPr>
          <w:rFonts w:ascii="Palatino Linotype" w:hAnsi="Palatino Linotype" w:cs="Arial"/>
          <w:b/>
        </w:rPr>
        <w:t>02773/INFOEM/IP/RR/2018, 02774/INFOEM/IP/RR/2018 Y 02775/INFOEM/IP/RR/2018</w:t>
      </w:r>
      <w:r w:rsidRPr="00012637">
        <w:rPr>
          <w:rFonts w:ascii="Palatino Linotype" w:eastAsia="Calibri" w:hAnsi="Palatino Linotype" w:cs="Arial"/>
          <w:b/>
          <w:color w:val="000000"/>
        </w:rPr>
        <w:t>.</w:t>
      </w:r>
    </w:p>
    <w:p w14:paraId="590DFCAC" w14:textId="77777777" w:rsidR="00153E3A" w:rsidRPr="00012637" w:rsidRDefault="00153E3A" w:rsidP="00426458">
      <w:pPr>
        <w:widowControl w:val="0"/>
        <w:spacing w:line="360" w:lineRule="auto"/>
        <w:ind w:right="-164"/>
        <w:jc w:val="both"/>
        <w:rPr>
          <w:rFonts w:ascii="Palatino Linotype" w:eastAsia="Calibri" w:hAnsi="Palatino Linotype" w:cs="Arial"/>
          <w:b/>
          <w:color w:val="000000"/>
        </w:rPr>
      </w:pPr>
    </w:p>
    <w:p w14:paraId="529B6CBA" w14:textId="38ADB825" w:rsidR="00436D14" w:rsidRPr="00012637" w:rsidRDefault="00436D14" w:rsidP="00426458">
      <w:pPr>
        <w:spacing w:line="360" w:lineRule="auto"/>
        <w:jc w:val="both"/>
        <w:rPr>
          <w:rFonts w:ascii="Palatino Linotype" w:hAnsi="Palatino Linotype" w:cs="Arial"/>
        </w:rPr>
      </w:pPr>
      <w:r w:rsidRPr="00012637">
        <w:rPr>
          <w:rFonts w:ascii="Palatino Linotype" w:hAnsi="Palatino Linotype" w:cs="Arial"/>
        </w:rPr>
        <w:t>Con fundamento en lo dispuesto por el artículo 14</w:t>
      </w:r>
      <w:r w:rsidR="001305C0" w:rsidRPr="00012637">
        <w:rPr>
          <w:rFonts w:ascii="Palatino Linotype" w:hAnsi="Palatino Linotype" w:cs="Arial"/>
        </w:rPr>
        <w:t>,</w:t>
      </w:r>
      <w:r w:rsidRPr="00012637">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012637">
        <w:rPr>
          <w:rFonts w:ascii="Palatino Linotype" w:hAnsi="Palatino Linotype" w:cs="Arial"/>
          <w:b/>
          <w:lang w:val="es-ES_tradnl"/>
        </w:rPr>
        <w:t xml:space="preserve"> </w:t>
      </w:r>
      <w:r w:rsidRPr="00012637">
        <w:rPr>
          <w:rFonts w:ascii="Palatino Linotype" w:hAnsi="Palatino Linotype" w:cs="Arial"/>
          <w:b/>
        </w:rPr>
        <w:t xml:space="preserve">EVA ABAID YAPUR </w:t>
      </w:r>
      <w:r w:rsidRPr="00012637">
        <w:rPr>
          <w:rFonts w:ascii="Palatino Linotype" w:hAnsi="Palatino Linotype" w:cs="Arial"/>
        </w:rPr>
        <w:t xml:space="preserve">emite </w:t>
      </w:r>
      <w:r w:rsidR="00875BD4" w:rsidRPr="00012637">
        <w:rPr>
          <w:rFonts w:ascii="Palatino Linotype" w:hAnsi="Palatino Linotype" w:cs="Arial"/>
          <w:b/>
        </w:rPr>
        <w:t>OPINIÓ</w:t>
      </w:r>
      <w:r w:rsidRPr="00012637">
        <w:rPr>
          <w:rFonts w:ascii="Palatino Linotype" w:hAnsi="Palatino Linotype" w:cs="Arial"/>
          <w:b/>
        </w:rPr>
        <w:t xml:space="preserve">N PARTICULAR </w:t>
      </w:r>
      <w:r w:rsidRPr="00012637">
        <w:rPr>
          <w:rFonts w:ascii="Palatino Linotype" w:hAnsi="Palatino Linotype" w:cs="Arial"/>
        </w:rPr>
        <w:t xml:space="preserve">respecto de la resolución dictada en </w:t>
      </w:r>
      <w:r w:rsidR="00C92380">
        <w:rPr>
          <w:rFonts w:ascii="Palatino Linotype" w:hAnsi="Palatino Linotype" w:cs="Arial"/>
        </w:rPr>
        <w:t>los</w:t>
      </w:r>
      <w:r w:rsidRPr="00012637">
        <w:rPr>
          <w:rFonts w:ascii="Palatino Linotype" w:hAnsi="Palatino Linotype" w:cs="Arial"/>
        </w:rPr>
        <w:t xml:space="preserve"> recurso</w:t>
      </w:r>
      <w:r w:rsidR="00C92380">
        <w:rPr>
          <w:rFonts w:ascii="Palatino Linotype" w:hAnsi="Palatino Linotype" w:cs="Arial"/>
        </w:rPr>
        <w:t>s</w:t>
      </w:r>
      <w:r w:rsidRPr="00012637">
        <w:rPr>
          <w:rFonts w:ascii="Palatino Linotype" w:hAnsi="Palatino Linotype" w:cs="Arial"/>
        </w:rPr>
        <w:t xml:space="preserve"> de revisión </w:t>
      </w:r>
      <w:r w:rsidR="00284013" w:rsidRPr="00284013">
        <w:rPr>
          <w:rFonts w:ascii="Palatino Linotype" w:eastAsia="Calibri" w:hAnsi="Palatino Linotype" w:cs="Arial"/>
          <w:b/>
          <w:color w:val="000000"/>
        </w:rPr>
        <w:t xml:space="preserve">02773/INFOEM/IP/RR/2018, 02774/INFOEM/IP/RR/2018 </w:t>
      </w:r>
      <w:r w:rsidR="00284013" w:rsidRPr="00284013">
        <w:rPr>
          <w:rFonts w:ascii="Palatino Linotype" w:eastAsia="Calibri" w:hAnsi="Palatino Linotype" w:cs="Arial"/>
          <w:color w:val="000000"/>
        </w:rPr>
        <w:t>y</w:t>
      </w:r>
      <w:r w:rsidR="00284013" w:rsidRPr="00284013">
        <w:rPr>
          <w:rFonts w:ascii="Palatino Linotype" w:eastAsia="Calibri" w:hAnsi="Palatino Linotype" w:cs="Arial"/>
          <w:b/>
          <w:color w:val="000000"/>
        </w:rPr>
        <w:t xml:space="preserve"> 02775/INFOEM/IP/RR/2018</w:t>
      </w:r>
      <w:r w:rsidR="00284013" w:rsidRPr="00284013">
        <w:rPr>
          <w:rFonts w:ascii="Palatino Linotype" w:eastAsia="Calibri" w:hAnsi="Palatino Linotype" w:cs="Arial"/>
          <w:color w:val="000000"/>
        </w:rPr>
        <w:t xml:space="preserve"> acumulados</w:t>
      </w:r>
      <w:r w:rsidRPr="00012637">
        <w:rPr>
          <w:rFonts w:ascii="Palatino Linotype" w:hAnsi="Palatino Linotype" w:cs="Arial"/>
        </w:rPr>
        <w:t xml:space="preserve">, pronunciada por el Pleno de este Instituto ante el proyecto presentado por </w:t>
      </w:r>
      <w:r w:rsidR="009E4507">
        <w:rPr>
          <w:rFonts w:ascii="Palatino Linotype" w:hAnsi="Palatino Linotype" w:cs="Arial"/>
        </w:rPr>
        <w:t xml:space="preserve">returno por la </w:t>
      </w:r>
      <w:r w:rsidRPr="00012637">
        <w:rPr>
          <w:rFonts w:ascii="Palatino Linotype" w:hAnsi="Palatino Linotype" w:cs="Arial"/>
        </w:rPr>
        <w:t>Comisionad</w:t>
      </w:r>
      <w:r w:rsidR="009E4507">
        <w:rPr>
          <w:rFonts w:ascii="Palatino Linotype" w:hAnsi="Palatino Linotype" w:cs="Arial"/>
        </w:rPr>
        <w:t xml:space="preserve">a Presidenta </w:t>
      </w:r>
      <w:r w:rsidR="009E4507">
        <w:rPr>
          <w:rFonts w:ascii="Palatino Linotype" w:hAnsi="Palatino Linotype" w:cs="Arial"/>
          <w:b/>
        </w:rPr>
        <w:t>ZULEMA MARTÍNEZ SÁNCHEZ</w:t>
      </w:r>
      <w:r w:rsidRPr="00012637">
        <w:rPr>
          <w:rFonts w:ascii="Palatino Linotype" w:hAnsi="Palatino Linotype" w:cs="Arial"/>
        </w:rPr>
        <w:t>, que es del tenor siguiente.</w:t>
      </w:r>
    </w:p>
    <w:p w14:paraId="461C02B2" w14:textId="77777777" w:rsidR="00153E3A" w:rsidRPr="00012637" w:rsidRDefault="00153E3A" w:rsidP="00426458">
      <w:pPr>
        <w:spacing w:line="360" w:lineRule="auto"/>
        <w:jc w:val="both"/>
        <w:rPr>
          <w:rFonts w:ascii="Palatino Linotype" w:hAnsi="Palatino Linotype" w:cs="Arial"/>
        </w:rPr>
      </w:pPr>
    </w:p>
    <w:p w14:paraId="10BD052C" w14:textId="52A5C451" w:rsidR="00153E3A" w:rsidRPr="00012637" w:rsidRDefault="00436D14" w:rsidP="00AD5C51">
      <w:pPr>
        <w:spacing w:line="360" w:lineRule="auto"/>
        <w:jc w:val="both"/>
        <w:rPr>
          <w:rFonts w:ascii="Palatino Linotype" w:hAnsi="Palatino Linotype"/>
        </w:rPr>
      </w:pPr>
      <w:r w:rsidRPr="00012637">
        <w:rPr>
          <w:rFonts w:ascii="Palatino Linotype" w:hAnsi="Palatino Linotype"/>
        </w:rPr>
        <w:t>Al respecto, tal y como quedó debidamente asentado en la resolución materia de</w:t>
      </w:r>
      <w:r w:rsidR="00004F8F" w:rsidRPr="00012637">
        <w:rPr>
          <w:rFonts w:ascii="Palatino Linotype" w:hAnsi="Palatino Linotype"/>
        </w:rPr>
        <w:t xml:space="preserve"> </w:t>
      </w:r>
      <w:r w:rsidRPr="00012637">
        <w:rPr>
          <w:rFonts w:ascii="Palatino Linotype" w:hAnsi="Palatino Linotype"/>
        </w:rPr>
        <w:t>l</w:t>
      </w:r>
      <w:r w:rsidR="00004F8F" w:rsidRPr="00012637">
        <w:rPr>
          <w:rFonts w:ascii="Palatino Linotype" w:hAnsi="Palatino Linotype"/>
        </w:rPr>
        <w:t>a presente opinión</w:t>
      </w:r>
      <w:r w:rsidRPr="00012637">
        <w:rPr>
          <w:rFonts w:ascii="Palatino Linotype" w:hAnsi="Palatino Linotype"/>
        </w:rPr>
        <w:t xml:space="preserve">, </w:t>
      </w:r>
      <w:r w:rsidR="00D55A3D">
        <w:rPr>
          <w:rFonts w:ascii="Palatino Linotype" w:hAnsi="Palatino Linotype"/>
        </w:rPr>
        <w:t>el</w:t>
      </w:r>
      <w:r w:rsidRPr="00012637">
        <w:rPr>
          <w:rFonts w:ascii="Palatino Linotype" w:hAnsi="Palatino Linotype"/>
        </w:rPr>
        <w:t xml:space="preserve"> particular requirió del </w:t>
      </w:r>
      <w:r w:rsidR="009E4507" w:rsidRPr="009E4507">
        <w:rPr>
          <w:rFonts w:ascii="Palatino Linotype" w:hAnsi="Palatino Linotype"/>
          <w:b/>
        </w:rPr>
        <w:t>Poder Judicial</w:t>
      </w:r>
      <w:r w:rsidR="00875BD4" w:rsidRPr="00012637">
        <w:rPr>
          <w:rFonts w:ascii="Palatino Linotype" w:hAnsi="Palatino Linotype"/>
          <w:b/>
        </w:rPr>
        <w:t>,</w:t>
      </w:r>
      <w:r w:rsidRPr="00012637">
        <w:rPr>
          <w:rFonts w:ascii="Palatino Linotype" w:hAnsi="Palatino Linotype"/>
        </w:rPr>
        <w:t xml:space="preserve"> en lo subsecuente </w:t>
      </w:r>
      <w:r w:rsidR="00D55A3D" w:rsidRPr="00012637">
        <w:rPr>
          <w:rFonts w:ascii="Palatino Linotype" w:hAnsi="Palatino Linotype"/>
          <w:b/>
        </w:rPr>
        <w:t>EL</w:t>
      </w:r>
      <w:r w:rsidR="00D55A3D" w:rsidRPr="00012637">
        <w:rPr>
          <w:rFonts w:ascii="Palatino Linotype" w:hAnsi="Palatino Linotype"/>
        </w:rPr>
        <w:t xml:space="preserve"> </w:t>
      </w:r>
      <w:r w:rsidRPr="00012637">
        <w:rPr>
          <w:rFonts w:ascii="Palatino Linotype" w:hAnsi="Palatino Linotype"/>
          <w:b/>
        </w:rPr>
        <w:t>SUJETO OBLIGADO,</w:t>
      </w:r>
      <w:r w:rsidRPr="00012637">
        <w:rPr>
          <w:rFonts w:ascii="Palatino Linotype" w:hAnsi="Palatino Linotype"/>
        </w:rPr>
        <w:t xml:space="preserve"> </w:t>
      </w:r>
      <w:r w:rsidR="00F735ED">
        <w:rPr>
          <w:rFonts w:ascii="Palatino Linotype" w:hAnsi="Palatino Linotype"/>
        </w:rPr>
        <w:t>l</w:t>
      </w:r>
      <w:r w:rsidR="005C6F83">
        <w:rPr>
          <w:rFonts w:ascii="Palatino Linotype" w:hAnsi="Palatino Linotype"/>
        </w:rPr>
        <w:t xml:space="preserve">os documentos </w:t>
      </w:r>
      <w:r w:rsidR="00F735ED">
        <w:rPr>
          <w:rFonts w:ascii="Palatino Linotype" w:hAnsi="Palatino Linotype"/>
        </w:rPr>
        <w:t>relacionados co</w:t>
      </w:r>
      <w:r w:rsidR="00C92380">
        <w:rPr>
          <w:rFonts w:ascii="Palatino Linotype" w:hAnsi="Palatino Linotype"/>
        </w:rPr>
        <w:t xml:space="preserve">n la detención de tres personas </w:t>
      </w:r>
      <w:r w:rsidR="00F735ED">
        <w:rPr>
          <w:rFonts w:ascii="Palatino Linotype" w:hAnsi="Palatino Linotype"/>
        </w:rPr>
        <w:t xml:space="preserve">en el Municipio de Valle </w:t>
      </w:r>
      <w:r w:rsidR="006A3864">
        <w:rPr>
          <w:rFonts w:ascii="Palatino Linotype" w:hAnsi="Palatino Linotype"/>
        </w:rPr>
        <w:t>de Chalco</w:t>
      </w:r>
      <w:r w:rsidR="00C92380">
        <w:rPr>
          <w:rFonts w:ascii="Palatino Linotype" w:hAnsi="Palatino Linotype"/>
        </w:rPr>
        <w:t xml:space="preserve"> Solidaridad</w:t>
      </w:r>
      <w:r w:rsidR="006A3864">
        <w:rPr>
          <w:rFonts w:ascii="Palatino Linotype" w:hAnsi="Palatino Linotype"/>
        </w:rPr>
        <w:t>.</w:t>
      </w:r>
    </w:p>
    <w:p w14:paraId="0D5AF3E1" w14:textId="3C6933E3" w:rsidR="006A3864" w:rsidRDefault="00436D14" w:rsidP="00426458">
      <w:pPr>
        <w:spacing w:line="360" w:lineRule="auto"/>
        <w:jc w:val="both"/>
        <w:rPr>
          <w:rFonts w:ascii="Palatino Linotype" w:hAnsi="Palatino Linotype" w:cs="Arial"/>
        </w:rPr>
      </w:pPr>
      <w:r w:rsidRPr="00012637">
        <w:rPr>
          <w:rFonts w:ascii="Palatino Linotype" w:hAnsi="Palatino Linotype" w:cs="Arial"/>
        </w:rPr>
        <w:lastRenderedPageBreak/>
        <w:t>De las constancias que obran dentro del expediente electrónico del Sistema de Acceso a la Información Mexiquense</w:t>
      </w:r>
      <w:r w:rsidR="00004F8F" w:rsidRPr="00012637">
        <w:rPr>
          <w:rFonts w:ascii="Palatino Linotype" w:hAnsi="Palatino Linotype" w:cs="Arial"/>
        </w:rPr>
        <w:t>,</w:t>
      </w:r>
      <w:r w:rsidRPr="00012637">
        <w:rPr>
          <w:rFonts w:ascii="Palatino Linotype" w:hAnsi="Palatino Linotype" w:cs="Arial"/>
        </w:rPr>
        <w:t xml:space="preserve"> en lo sucesivo el </w:t>
      </w:r>
      <w:r w:rsidRPr="00012637">
        <w:rPr>
          <w:rFonts w:ascii="Palatino Linotype" w:hAnsi="Palatino Linotype" w:cs="Arial"/>
          <w:b/>
        </w:rPr>
        <w:t>SAIMEX,</w:t>
      </w:r>
      <w:r w:rsidRPr="00012637">
        <w:rPr>
          <w:rFonts w:ascii="Palatino Linotype" w:hAnsi="Palatino Linotype" w:cs="Arial"/>
        </w:rPr>
        <w:t xml:space="preserve"> se advierte que </w:t>
      </w:r>
      <w:r w:rsidRPr="00012637">
        <w:rPr>
          <w:rFonts w:ascii="Palatino Linotype" w:hAnsi="Palatino Linotype" w:cs="Arial"/>
          <w:b/>
        </w:rPr>
        <w:t xml:space="preserve">EL SUJETO OBLIGADO </w:t>
      </w:r>
      <w:r w:rsidR="00C92380" w:rsidRPr="00012637">
        <w:rPr>
          <w:rFonts w:ascii="Palatino Linotype" w:hAnsi="Palatino Linotype" w:cs="Arial"/>
        </w:rPr>
        <w:t>de acuerdo a lo notificado por el Servidor Público Habilitado</w:t>
      </w:r>
      <w:r w:rsidR="00C92380">
        <w:rPr>
          <w:rFonts w:ascii="Palatino Linotype" w:hAnsi="Palatino Linotype" w:cs="Arial"/>
        </w:rPr>
        <w:t xml:space="preserve">, </w:t>
      </w:r>
      <w:r w:rsidR="00CC7F23" w:rsidRPr="00012637">
        <w:rPr>
          <w:rFonts w:ascii="Palatino Linotype" w:hAnsi="Palatino Linotype" w:cs="Arial"/>
        </w:rPr>
        <w:t xml:space="preserve">informó </w:t>
      </w:r>
      <w:r w:rsidR="00C92380">
        <w:rPr>
          <w:rFonts w:ascii="Palatino Linotype" w:hAnsi="Palatino Linotype" w:cs="Arial"/>
        </w:rPr>
        <w:t>de</w:t>
      </w:r>
      <w:r w:rsidR="00AD5C51" w:rsidRPr="00012637">
        <w:rPr>
          <w:rFonts w:ascii="Palatino Linotype" w:hAnsi="Palatino Linotype" w:cs="Arial"/>
        </w:rPr>
        <w:t xml:space="preserve"> </w:t>
      </w:r>
      <w:r w:rsidR="006A3864">
        <w:rPr>
          <w:rFonts w:ascii="Palatino Linotype" w:hAnsi="Palatino Linotype" w:cs="Arial"/>
        </w:rPr>
        <w:t xml:space="preserve">la incompetencia para dar atención a su solicitud por tratarse de documentos en poder de la </w:t>
      </w:r>
      <w:r w:rsidR="006A3864" w:rsidRPr="006A3864">
        <w:rPr>
          <w:rFonts w:ascii="Palatino Linotype" w:hAnsi="Palatino Linotype" w:cs="Arial"/>
        </w:rPr>
        <w:t>Fiscalía General de Justicia del Estado de México</w:t>
      </w:r>
      <w:r w:rsidR="00AD5C51" w:rsidRPr="00012637">
        <w:rPr>
          <w:rFonts w:ascii="Palatino Linotype" w:hAnsi="Palatino Linotype" w:cs="Arial"/>
        </w:rPr>
        <w:t xml:space="preserve">; </w:t>
      </w:r>
      <w:r w:rsidR="006A3864">
        <w:rPr>
          <w:rFonts w:ascii="Palatino Linotype" w:hAnsi="Palatino Linotype" w:cs="Arial"/>
        </w:rPr>
        <w:t>por lo que</w:t>
      </w:r>
      <w:r w:rsidR="00D55A3D">
        <w:rPr>
          <w:rFonts w:ascii="Palatino Linotype" w:hAnsi="Palatino Linotype" w:cs="Arial"/>
        </w:rPr>
        <w:t>,</w:t>
      </w:r>
      <w:r w:rsidR="006A3864">
        <w:rPr>
          <w:rFonts w:ascii="Palatino Linotype" w:hAnsi="Palatino Linotype" w:cs="Arial"/>
        </w:rPr>
        <w:t xml:space="preserve"> sugirió dirigir las solicitudes de mérito a dicho Sujeto Obligado.</w:t>
      </w:r>
    </w:p>
    <w:p w14:paraId="0382B48F" w14:textId="77777777" w:rsidR="006A3864" w:rsidRDefault="006A3864" w:rsidP="00426458">
      <w:pPr>
        <w:spacing w:line="360" w:lineRule="auto"/>
        <w:jc w:val="both"/>
        <w:rPr>
          <w:rFonts w:ascii="Palatino Linotype" w:hAnsi="Palatino Linotype" w:cs="Arial"/>
        </w:rPr>
      </w:pPr>
    </w:p>
    <w:p w14:paraId="1CB0EAC5" w14:textId="1C5F9AA3" w:rsidR="00AD5C51" w:rsidRPr="00012637" w:rsidRDefault="00C42F33" w:rsidP="00426458">
      <w:pPr>
        <w:spacing w:line="360" w:lineRule="auto"/>
        <w:jc w:val="both"/>
        <w:rPr>
          <w:rFonts w:ascii="Palatino Linotype" w:hAnsi="Palatino Linotype" w:cs="Arial"/>
        </w:rPr>
      </w:pPr>
      <w:r w:rsidRPr="00012637">
        <w:rPr>
          <w:rFonts w:ascii="Palatino Linotype" w:hAnsi="Palatino Linotype" w:cs="Arial"/>
        </w:rPr>
        <w:t>Inconforme con la r</w:t>
      </w:r>
      <w:r w:rsidR="00436D14" w:rsidRPr="00012637">
        <w:rPr>
          <w:rFonts w:ascii="Palatino Linotype" w:hAnsi="Palatino Linotype" w:cs="Arial"/>
        </w:rPr>
        <w:t xml:space="preserve">espuesta por parte del </w:t>
      </w:r>
      <w:r w:rsidR="00436D14" w:rsidRPr="00012637">
        <w:rPr>
          <w:rFonts w:ascii="Palatino Linotype" w:hAnsi="Palatino Linotype" w:cs="Arial"/>
          <w:b/>
        </w:rPr>
        <w:t>SUJETO OBLIGADO</w:t>
      </w:r>
      <w:r w:rsidR="00436D14" w:rsidRPr="00012637">
        <w:rPr>
          <w:rFonts w:ascii="Palatino Linotype" w:hAnsi="Palatino Linotype" w:cs="Arial"/>
        </w:rPr>
        <w:t xml:space="preserve">, </w:t>
      </w:r>
      <w:r w:rsidR="006A3864">
        <w:rPr>
          <w:rFonts w:ascii="Palatino Linotype" w:hAnsi="Palatino Linotype" w:cs="Arial"/>
          <w:b/>
        </w:rPr>
        <w:t>EL</w:t>
      </w:r>
      <w:r w:rsidR="00436D14" w:rsidRPr="00012637">
        <w:rPr>
          <w:rFonts w:ascii="Palatino Linotype" w:hAnsi="Palatino Linotype" w:cs="Arial"/>
          <w:b/>
        </w:rPr>
        <w:t xml:space="preserve"> RECURRENTE</w:t>
      </w:r>
      <w:r w:rsidR="00436D14" w:rsidRPr="00012637">
        <w:rPr>
          <w:rFonts w:ascii="Palatino Linotype" w:hAnsi="Palatino Linotype" w:cs="Arial"/>
        </w:rPr>
        <w:t xml:space="preserve"> en la interposición del r</w:t>
      </w:r>
      <w:r w:rsidRPr="00012637">
        <w:rPr>
          <w:rFonts w:ascii="Palatino Linotype" w:hAnsi="Palatino Linotype" w:cs="Arial"/>
        </w:rPr>
        <w:t>ecurso de revisión de mérito se pronunció respecto a</w:t>
      </w:r>
      <w:r w:rsidR="00AD5C51" w:rsidRPr="00012637">
        <w:rPr>
          <w:rFonts w:ascii="Palatino Linotype" w:hAnsi="Palatino Linotype" w:cs="Arial"/>
        </w:rPr>
        <w:t xml:space="preserve"> la negativa </w:t>
      </w:r>
      <w:r w:rsidR="00C92380">
        <w:rPr>
          <w:rFonts w:ascii="Palatino Linotype" w:hAnsi="Palatino Linotype" w:cs="Arial"/>
        </w:rPr>
        <w:t xml:space="preserve">de </w:t>
      </w:r>
      <w:r w:rsidR="00AD5C51" w:rsidRPr="00012637">
        <w:rPr>
          <w:rFonts w:ascii="Palatino Linotype" w:hAnsi="Palatino Linotype" w:cs="Arial"/>
        </w:rPr>
        <w:t>proporcionarle la información.</w:t>
      </w:r>
    </w:p>
    <w:p w14:paraId="78CC97EC" w14:textId="77777777" w:rsidR="00AD5C51" w:rsidRPr="00012637" w:rsidRDefault="00AD5C51" w:rsidP="00426458">
      <w:pPr>
        <w:spacing w:line="360" w:lineRule="auto"/>
        <w:jc w:val="both"/>
        <w:rPr>
          <w:rFonts w:ascii="Palatino Linotype" w:hAnsi="Palatino Linotype" w:cs="Arial"/>
        </w:rPr>
      </w:pPr>
    </w:p>
    <w:p w14:paraId="6B47EFD5" w14:textId="3DACD063" w:rsidR="00AD5C51" w:rsidRPr="00012637" w:rsidRDefault="00436D14" w:rsidP="00426458">
      <w:pPr>
        <w:spacing w:line="360" w:lineRule="auto"/>
        <w:jc w:val="both"/>
        <w:rPr>
          <w:rFonts w:ascii="Palatino Linotype" w:hAnsi="Palatino Linotype" w:cs="Arial"/>
          <w:b/>
        </w:rPr>
      </w:pPr>
      <w:r w:rsidRPr="00012637">
        <w:rPr>
          <w:rFonts w:ascii="Palatino Linotype" w:hAnsi="Palatino Linotype" w:cs="Arial"/>
        </w:rPr>
        <w:t xml:space="preserve">Atento a lo anterior, la Ponencia Resolutora </w:t>
      </w:r>
      <w:r w:rsidR="00AD5C51" w:rsidRPr="00012637">
        <w:rPr>
          <w:rFonts w:ascii="Palatino Linotype" w:hAnsi="Palatino Linotype" w:cs="Arial"/>
        </w:rPr>
        <w:t>calificó como infundad</w:t>
      </w:r>
      <w:r w:rsidR="00C92380">
        <w:rPr>
          <w:rFonts w:ascii="Palatino Linotype" w:hAnsi="Palatino Linotype" w:cs="Arial"/>
        </w:rPr>
        <w:t>a</w:t>
      </w:r>
      <w:r w:rsidR="00AD5C51" w:rsidRPr="00012637">
        <w:rPr>
          <w:rFonts w:ascii="Palatino Linotype" w:hAnsi="Palatino Linotype" w:cs="Arial"/>
        </w:rPr>
        <w:t xml:space="preserve">s las razones y motivos de inconformidad aducidos por </w:t>
      </w:r>
      <w:r w:rsidR="006A3864">
        <w:rPr>
          <w:rFonts w:ascii="Palatino Linotype" w:hAnsi="Palatino Linotype" w:cs="Arial"/>
          <w:b/>
        </w:rPr>
        <w:t>EL</w:t>
      </w:r>
      <w:r w:rsidR="001305C0" w:rsidRPr="00012637">
        <w:rPr>
          <w:rFonts w:ascii="Palatino Linotype" w:hAnsi="Palatino Linotype" w:cs="Arial"/>
        </w:rPr>
        <w:t xml:space="preserve"> </w:t>
      </w:r>
      <w:r w:rsidR="00AD5C51" w:rsidRPr="00012637">
        <w:rPr>
          <w:rFonts w:ascii="Palatino Linotype" w:hAnsi="Palatino Linotype" w:cs="Arial"/>
          <w:b/>
        </w:rPr>
        <w:t>RECURRENTE</w:t>
      </w:r>
      <w:r w:rsidR="00AD5C51" w:rsidRPr="00012637">
        <w:rPr>
          <w:rFonts w:ascii="Palatino Linotype" w:hAnsi="Palatino Linotype" w:cs="Arial"/>
        </w:rPr>
        <w:t xml:space="preserve"> y </w:t>
      </w:r>
      <w:r w:rsidRPr="00012637">
        <w:rPr>
          <w:rFonts w:ascii="Palatino Linotype" w:hAnsi="Palatino Linotype" w:cs="Arial"/>
        </w:rPr>
        <w:t xml:space="preserve">determinó </w:t>
      </w:r>
      <w:r w:rsidR="00AD5C51" w:rsidRPr="00012637">
        <w:rPr>
          <w:rFonts w:ascii="Palatino Linotype" w:hAnsi="Palatino Linotype" w:cs="Arial"/>
          <w:b/>
        </w:rPr>
        <w:t>CONFIRMAR</w:t>
      </w:r>
      <w:r w:rsidR="009124C5" w:rsidRPr="00012637">
        <w:rPr>
          <w:rFonts w:ascii="Palatino Linotype" w:hAnsi="Palatino Linotype" w:cs="Arial"/>
          <w:b/>
        </w:rPr>
        <w:t xml:space="preserve"> </w:t>
      </w:r>
      <w:r w:rsidR="009124C5" w:rsidRPr="00012637">
        <w:rPr>
          <w:rFonts w:ascii="Palatino Linotype" w:hAnsi="Palatino Linotype" w:cs="Arial"/>
        </w:rPr>
        <w:t>la respuesta del</w:t>
      </w:r>
      <w:r w:rsidRPr="00012637">
        <w:rPr>
          <w:rFonts w:ascii="Palatino Linotype" w:hAnsi="Palatino Linotype" w:cs="Arial"/>
        </w:rPr>
        <w:t xml:space="preserve"> </w:t>
      </w:r>
      <w:r w:rsidRPr="00012637">
        <w:rPr>
          <w:rFonts w:ascii="Palatino Linotype" w:hAnsi="Palatino Linotype" w:cs="Arial"/>
          <w:b/>
        </w:rPr>
        <w:t>SUJETO OBLIGADO</w:t>
      </w:r>
      <w:r w:rsidR="00AD5C51" w:rsidRPr="00012637">
        <w:rPr>
          <w:rFonts w:ascii="Palatino Linotype" w:hAnsi="Palatino Linotype" w:cs="Arial"/>
          <w:b/>
        </w:rPr>
        <w:t>.</w:t>
      </w:r>
    </w:p>
    <w:p w14:paraId="042D85CD" w14:textId="41C8B5BD" w:rsidR="00333F03" w:rsidRPr="00012637" w:rsidRDefault="00AD5C51" w:rsidP="00426458">
      <w:pPr>
        <w:spacing w:line="360" w:lineRule="auto"/>
        <w:jc w:val="both"/>
        <w:rPr>
          <w:rFonts w:ascii="Palatino Linotype" w:hAnsi="Palatino Linotype" w:cs="Arial"/>
        </w:rPr>
      </w:pPr>
      <w:r w:rsidRPr="00012637">
        <w:rPr>
          <w:rFonts w:ascii="Palatino Linotype" w:hAnsi="Palatino Linotype" w:cs="Arial"/>
        </w:rPr>
        <w:t xml:space="preserve"> </w:t>
      </w:r>
    </w:p>
    <w:p w14:paraId="029EF378" w14:textId="71334906" w:rsidR="00E60FF4" w:rsidRDefault="000C7675" w:rsidP="001305C0">
      <w:pPr>
        <w:spacing w:line="360" w:lineRule="auto"/>
        <w:jc w:val="both"/>
        <w:rPr>
          <w:rFonts w:ascii="Palatino Linotype" w:hAnsi="Palatino Linotype" w:cs="Arial"/>
        </w:rPr>
      </w:pPr>
      <w:r w:rsidRPr="00012637">
        <w:rPr>
          <w:rFonts w:ascii="Palatino Linotype" w:hAnsi="Palatino Linotype" w:cs="Arial"/>
        </w:rPr>
        <w:t>En ese sentido, la que suscribe coincide con el proyecto en lo general, así como con el est</w:t>
      </w:r>
      <w:r w:rsidR="00004F8F" w:rsidRPr="00012637">
        <w:rPr>
          <w:rFonts w:ascii="Palatino Linotype" w:hAnsi="Palatino Linotype" w:cs="Arial"/>
        </w:rPr>
        <w:t>udio de la resolución en comento;</w:t>
      </w:r>
      <w:r w:rsidRPr="00012637">
        <w:rPr>
          <w:rFonts w:ascii="Palatino Linotype" w:hAnsi="Palatino Linotype" w:cs="Arial"/>
        </w:rPr>
        <w:t xml:space="preserve"> </w:t>
      </w:r>
      <w:r w:rsidR="00004F8F" w:rsidRPr="00012637">
        <w:rPr>
          <w:rFonts w:ascii="Palatino Linotype" w:hAnsi="Palatino Linotype" w:cs="Arial"/>
        </w:rPr>
        <w:t>y en atención a ello</w:t>
      </w:r>
      <w:r w:rsidRPr="00012637">
        <w:rPr>
          <w:rFonts w:ascii="Palatino Linotype" w:hAnsi="Palatino Linotype" w:cs="Arial"/>
        </w:rPr>
        <w:t>, estimo necesario precisar algunas consideraciones</w:t>
      </w:r>
      <w:r w:rsidR="001305C0" w:rsidRPr="00012637">
        <w:rPr>
          <w:rFonts w:ascii="Palatino Linotype" w:hAnsi="Palatino Linotype" w:cs="Arial"/>
        </w:rPr>
        <w:t xml:space="preserve"> de hecho y de derecho respecto al acceso </w:t>
      </w:r>
      <w:r w:rsidR="006A3864">
        <w:rPr>
          <w:rFonts w:ascii="Palatino Linotype" w:hAnsi="Palatino Linotype" w:cs="Arial"/>
        </w:rPr>
        <w:t xml:space="preserve">de los documentos que </w:t>
      </w:r>
      <w:r w:rsidR="00D55A3D">
        <w:rPr>
          <w:rFonts w:ascii="Palatino Linotype" w:hAnsi="Palatino Linotype" w:cs="Arial"/>
        </w:rPr>
        <w:t xml:space="preserve">pudieran </w:t>
      </w:r>
      <w:r w:rsidR="006A3864">
        <w:rPr>
          <w:rFonts w:ascii="Palatino Linotype" w:hAnsi="Palatino Linotype" w:cs="Arial"/>
        </w:rPr>
        <w:t xml:space="preserve">integrar </w:t>
      </w:r>
      <w:r w:rsidR="001305C0" w:rsidRPr="00012637">
        <w:rPr>
          <w:rFonts w:ascii="Palatino Linotype" w:hAnsi="Palatino Linotype" w:cs="Arial"/>
        </w:rPr>
        <w:t>la</w:t>
      </w:r>
      <w:r w:rsidR="006A3864">
        <w:rPr>
          <w:rFonts w:ascii="Palatino Linotype" w:hAnsi="Palatino Linotype" w:cs="Arial"/>
        </w:rPr>
        <w:t>s</w:t>
      </w:r>
      <w:r w:rsidR="001305C0" w:rsidRPr="00012637">
        <w:rPr>
          <w:rFonts w:ascii="Palatino Linotype" w:hAnsi="Palatino Linotype" w:cs="Arial"/>
        </w:rPr>
        <w:t xml:space="preserve"> </w:t>
      </w:r>
      <w:r w:rsidR="006A3864">
        <w:rPr>
          <w:rFonts w:ascii="Palatino Linotype" w:hAnsi="Palatino Linotype" w:cs="Arial"/>
        </w:rPr>
        <w:t xml:space="preserve">distintas </w:t>
      </w:r>
      <w:r w:rsidR="006A3864" w:rsidRPr="00012637">
        <w:rPr>
          <w:rFonts w:ascii="Palatino Linotype" w:hAnsi="Palatino Linotype" w:cs="Arial"/>
        </w:rPr>
        <w:t>averiguacion</w:t>
      </w:r>
      <w:r w:rsidR="006A3864">
        <w:rPr>
          <w:rFonts w:ascii="Palatino Linotype" w:hAnsi="Palatino Linotype" w:cs="Arial"/>
        </w:rPr>
        <w:t>es</w:t>
      </w:r>
      <w:r w:rsidR="001305C0" w:rsidRPr="00012637">
        <w:rPr>
          <w:rFonts w:ascii="Palatino Linotype" w:hAnsi="Palatino Linotype" w:cs="Arial"/>
        </w:rPr>
        <w:t xml:space="preserve"> previa</w:t>
      </w:r>
      <w:r w:rsidR="006A3864">
        <w:rPr>
          <w:rFonts w:ascii="Palatino Linotype" w:hAnsi="Palatino Linotype" w:cs="Arial"/>
        </w:rPr>
        <w:t>s a los que pretende acceder el ciudadano.</w:t>
      </w:r>
    </w:p>
    <w:p w14:paraId="7236F96B" w14:textId="77777777" w:rsidR="006A3864" w:rsidRPr="00012637" w:rsidRDefault="006A3864" w:rsidP="001305C0">
      <w:pPr>
        <w:spacing w:line="360" w:lineRule="auto"/>
        <w:jc w:val="both"/>
        <w:rPr>
          <w:rFonts w:ascii="Palatino Linotype" w:hAnsi="Palatino Linotype" w:cs="Arial"/>
        </w:rPr>
      </w:pPr>
    </w:p>
    <w:p w14:paraId="2A91B101" w14:textId="2D782E90" w:rsidR="006A3864" w:rsidRPr="00012637" w:rsidRDefault="005225CF" w:rsidP="006A3864">
      <w:pPr>
        <w:spacing w:line="360" w:lineRule="auto"/>
        <w:jc w:val="both"/>
        <w:rPr>
          <w:rFonts w:ascii="Palatino Linotype" w:hAnsi="Palatino Linotype" w:cs="Arial"/>
        </w:rPr>
      </w:pPr>
      <w:r>
        <w:rPr>
          <w:rFonts w:ascii="Palatino Linotype" w:eastAsia="Calibri" w:hAnsi="Palatino Linotype" w:cs="Arial"/>
        </w:rPr>
        <w:lastRenderedPageBreak/>
        <w:t xml:space="preserve">En primer término, </w:t>
      </w:r>
      <w:r w:rsidR="006A3864">
        <w:rPr>
          <w:rFonts w:ascii="Palatino Linotype" w:eastAsia="Calibri" w:hAnsi="Palatino Linotype" w:cs="Arial"/>
        </w:rPr>
        <w:t xml:space="preserve">debemos establecer que </w:t>
      </w:r>
      <w:r w:rsidR="006A3864">
        <w:rPr>
          <w:rFonts w:ascii="Palatino Linotype" w:hAnsi="Palatino Linotype" w:cs="Arial"/>
        </w:rPr>
        <w:t>el</w:t>
      </w:r>
      <w:r w:rsidR="006A3864" w:rsidRPr="00012637">
        <w:rPr>
          <w:rFonts w:ascii="Palatino Linotype" w:hAnsi="Palatino Linotype" w:cs="Arial"/>
        </w:rPr>
        <w:t xml:space="preserve"> denunciante</w:t>
      </w:r>
      <w:r w:rsidR="006A3864">
        <w:rPr>
          <w:rFonts w:ascii="Palatino Linotype" w:hAnsi="Palatino Linotype" w:cs="Arial"/>
        </w:rPr>
        <w:t xml:space="preserve"> </w:t>
      </w:r>
      <w:r w:rsidR="006A3864" w:rsidRPr="00012637">
        <w:rPr>
          <w:rFonts w:ascii="Palatino Linotype" w:hAnsi="Palatino Linotype" w:cs="Arial"/>
        </w:rPr>
        <w:t xml:space="preserve">puede consultar los avances de la investigación, directamente ante la autoridad ministerial que conoce del asunto, ya que únicamente pueden tener acceso a la Averiguación Previa </w:t>
      </w:r>
      <w:r w:rsidR="00D55A3D">
        <w:rPr>
          <w:rFonts w:ascii="Palatino Linotype" w:hAnsi="Palatino Linotype" w:cs="Arial"/>
        </w:rPr>
        <w:t xml:space="preserve">o carpeta de investigación, </w:t>
      </w:r>
      <w:r w:rsidR="006A3864" w:rsidRPr="00012637">
        <w:rPr>
          <w:rFonts w:ascii="Palatino Linotype" w:hAnsi="Palatino Linotype" w:cs="Arial"/>
        </w:rPr>
        <w:t xml:space="preserve">el ofendido, la víctima, el indiciado y su defensor, de conformidad con el artículo </w:t>
      </w:r>
      <w:r w:rsidR="00D55A3D">
        <w:rPr>
          <w:rFonts w:ascii="Palatino Linotype" w:hAnsi="Palatino Linotype" w:cs="Arial"/>
        </w:rPr>
        <w:t>217</w:t>
      </w:r>
      <w:r w:rsidR="006A3864" w:rsidRPr="00012637">
        <w:rPr>
          <w:rFonts w:ascii="Palatino Linotype" w:hAnsi="Palatino Linotype" w:cs="Arial"/>
        </w:rPr>
        <w:t xml:space="preserve"> del Código </w:t>
      </w:r>
      <w:r w:rsidR="00D55A3D">
        <w:rPr>
          <w:rFonts w:ascii="Palatino Linotype" w:hAnsi="Palatino Linotype" w:cs="Arial"/>
        </w:rPr>
        <w:t>Nacional de Procedimientos Penales</w:t>
      </w:r>
      <w:r w:rsidR="006A3864" w:rsidRPr="00012637">
        <w:rPr>
          <w:rFonts w:ascii="Palatino Linotype" w:hAnsi="Palatino Linotype" w:cs="Arial"/>
        </w:rPr>
        <w:t>.</w:t>
      </w:r>
    </w:p>
    <w:p w14:paraId="3E44F405" w14:textId="77777777" w:rsidR="006A3864" w:rsidRDefault="006A3864" w:rsidP="00E60FF4">
      <w:pPr>
        <w:widowControl w:val="0"/>
        <w:autoSpaceDE w:val="0"/>
        <w:autoSpaceDN w:val="0"/>
        <w:adjustRightInd w:val="0"/>
        <w:spacing w:line="360" w:lineRule="auto"/>
        <w:jc w:val="both"/>
        <w:rPr>
          <w:rFonts w:ascii="Palatino Linotype" w:eastAsia="Calibri" w:hAnsi="Palatino Linotype" w:cs="Arial"/>
        </w:rPr>
      </w:pPr>
    </w:p>
    <w:p w14:paraId="61D76000" w14:textId="4F3580A1" w:rsidR="00CA7BF4" w:rsidRDefault="00CA7BF4" w:rsidP="00CA7BF4">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Asimismo, </w:t>
      </w:r>
      <w:r w:rsidRPr="00CA7BF4">
        <w:rPr>
          <w:rFonts w:ascii="Palatino Linotype" w:eastAsia="Calibri" w:hAnsi="Palatino Linotype" w:cs="Arial"/>
        </w:rPr>
        <w:t>para acceder a la información que obra en la Averiguación Previa, es un requisito de procedibilidad que el solicitante de información o su representante, acredite</w:t>
      </w:r>
      <w:r>
        <w:rPr>
          <w:rFonts w:ascii="Palatino Linotype" w:eastAsia="Calibri" w:hAnsi="Palatino Linotype" w:cs="Arial"/>
        </w:rPr>
        <w:t>n</w:t>
      </w:r>
      <w:r w:rsidRPr="00CA7BF4">
        <w:rPr>
          <w:rFonts w:ascii="Palatino Linotype" w:eastAsia="Calibri" w:hAnsi="Palatino Linotype" w:cs="Arial"/>
        </w:rPr>
        <w:t xml:space="preserve"> su personalidad jurídica, ante el Ministerio Público correspondiente, y en este caso, se advierte que </w:t>
      </w:r>
      <w:r w:rsidRPr="00CA7BF4">
        <w:rPr>
          <w:rFonts w:ascii="Palatino Linotype" w:eastAsia="Calibri" w:hAnsi="Palatino Linotype" w:cs="Arial"/>
          <w:b/>
        </w:rPr>
        <w:t>EL RECURRENTE</w:t>
      </w:r>
      <w:r w:rsidRPr="00CA7BF4">
        <w:rPr>
          <w:rFonts w:ascii="Palatino Linotype" w:eastAsia="Calibri" w:hAnsi="Palatino Linotype" w:cs="Arial"/>
        </w:rPr>
        <w:t xml:space="preserve"> no tiene </w:t>
      </w:r>
      <w:r w:rsidR="00D55A3D">
        <w:rPr>
          <w:rFonts w:ascii="Palatino Linotype" w:eastAsia="Calibri" w:hAnsi="Palatino Linotype" w:cs="Arial"/>
        </w:rPr>
        <w:t xml:space="preserve">legitimidad </w:t>
      </w:r>
      <w:r w:rsidR="00D55A3D" w:rsidRPr="00CA7BF4">
        <w:rPr>
          <w:rFonts w:ascii="Palatino Linotype" w:eastAsia="Calibri" w:hAnsi="Palatino Linotype" w:cs="Arial"/>
        </w:rPr>
        <w:t>dentro</w:t>
      </w:r>
      <w:r>
        <w:rPr>
          <w:rFonts w:ascii="Palatino Linotype" w:eastAsia="Calibri" w:hAnsi="Palatino Linotype" w:cs="Arial"/>
        </w:rPr>
        <w:t xml:space="preserve"> de</w:t>
      </w:r>
      <w:r w:rsidR="00D55A3D">
        <w:rPr>
          <w:rFonts w:ascii="Palatino Linotype" w:eastAsia="Calibri" w:hAnsi="Palatino Linotype" w:cs="Arial"/>
        </w:rPr>
        <w:t xml:space="preserve"> </w:t>
      </w:r>
      <w:r>
        <w:rPr>
          <w:rFonts w:ascii="Palatino Linotype" w:eastAsia="Calibri" w:hAnsi="Palatino Linotype" w:cs="Arial"/>
        </w:rPr>
        <w:t>l</w:t>
      </w:r>
      <w:r w:rsidR="00D55A3D">
        <w:rPr>
          <w:rFonts w:ascii="Palatino Linotype" w:eastAsia="Calibri" w:hAnsi="Palatino Linotype" w:cs="Arial"/>
        </w:rPr>
        <w:t>os</w:t>
      </w:r>
      <w:r>
        <w:rPr>
          <w:rFonts w:ascii="Palatino Linotype" w:eastAsia="Calibri" w:hAnsi="Palatino Linotype" w:cs="Arial"/>
        </w:rPr>
        <w:t xml:space="preserve"> procedimiento</w:t>
      </w:r>
      <w:r w:rsidR="00D55A3D">
        <w:rPr>
          <w:rFonts w:ascii="Palatino Linotype" w:eastAsia="Calibri" w:hAnsi="Palatino Linotype" w:cs="Arial"/>
        </w:rPr>
        <w:t>s</w:t>
      </w:r>
      <w:r>
        <w:rPr>
          <w:rFonts w:ascii="Palatino Linotype" w:eastAsia="Calibri" w:hAnsi="Palatino Linotype" w:cs="Arial"/>
        </w:rPr>
        <w:t xml:space="preserve"> en cita.</w:t>
      </w:r>
    </w:p>
    <w:p w14:paraId="4CBA56B6" w14:textId="77777777" w:rsidR="00CA7BF4" w:rsidRDefault="00CA7BF4" w:rsidP="00CA7BF4">
      <w:pPr>
        <w:widowControl w:val="0"/>
        <w:autoSpaceDE w:val="0"/>
        <w:autoSpaceDN w:val="0"/>
        <w:adjustRightInd w:val="0"/>
        <w:spacing w:line="360" w:lineRule="auto"/>
        <w:jc w:val="both"/>
        <w:rPr>
          <w:rFonts w:ascii="Palatino Linotype" w:eastAsia="Calibri" w:hAnsi="Palatino Linotype" w:cs="Arial"/>
        </w:rPr>
      </w:pPr>
    </w:p>
    <w:p w14:paraId="4EFFD519" w14:textId="5E561A51" w:rsidR="00CA7BF4" w:rsidRPr="00CA7BF4" w:rsidRDefault="00CA7BF4" w:rsidP="00CA7BF4">
      <w:pPr>
        <w:widowControl w:val="0"/>
        <w:autoSpaceDE w:val="0"/>
        <w:autoSpaceDN w:val="0"/>
        <w:adjustRightInd w:val="0"/>
        <w:spacing w:line="360" w:lineRule="auto"/>
        <w:jc w:val="both"/>
        <w:rPr>
          <w:rFonts w:ascii="Palatino Linotype" w:eastAsia="Calibri" w:hAnsi="Palatino Linotype" w:cs="Arial"/>
        </w:rPr>
      </w:pPr>
      <w:r w:rsidRPr="00CA7BF4">
        <w:rPr>
          <w:rFonts w:ascii="Palatino Linotype" w:eastAsia="Calibri" w:hAnsi="Palatino Linotype" w:cs="Arial"/>
        </w:rPr>
        <w:t xml:space="preserve">Así, los artículos 217 y 218 del Código Nacional de Procedimientos Penales, indican en primer término la obligación de llevar un registro de todas y cada una de las actuaciones del Ministerio Público, y a su vez </w:t>
      </w:r>
      <w:r w:rsidR="00D55A3D">
        <w:rPr>
          <w:rFonts w:ascii="Palatino Linotype" w:eastAsia="Calibri" w:hAnsi="Palatino Linotype" w:cs="Arial"/>
        </w:rPr>
        <w:t xml:space="preserve">prevén </w:t>
      </w:r>
      <w:r w:rsidRPr="00CA7BF4">
        <w:rPr>
          <w:rFonts w:ascii="Palatino Linotype" w:eastAsia="Calibri" w:hAnsi="Palatino Linotype" w:cs="Arial"/>
        </w:rPr>
        <w:t>las restricciones para acceder a dichas documentales como se ilustra a continuación:</w:t>
      </w:r>
    </w:p>
    <w:p w14:paraId="479EFC65" w14:textId="77777777" w:rsidR="00CA7BF4" w:rsidRPr="00CA7BF4" w:rsidRDefault="00CA7BF4" w:rsidP="00CA7BF4">
      <w:pPr>
        <w:widowControl w:val="0"/>
        <w:autoSpaceDE w:val="0"/>
        <w:autoSpaceDN w:val="0"/>
        <w:adjustRightInd w:val="0"/>
        <w:spacing w:line="360" w:lineRule="auto"/>
        <w:jc w:val="both"/>
        <w:rPr>
          <w:rFonts w:ascii="Palatino Linotype" w:eastAsia="Calibri" w:hAnsi="Palatino Linotype" w:cs="Arial"/>
        </w:rPr>
      </w:pPr>
    </w:p>
    <w:p w14:paraId="01435D0A" w14:textId="77777777" w:rsidR="00117970" w:rsidRPr="00117970" w:rsidRDefault="00CA7BF4" w:rsidP="00117970">
      <w:pPr>
        <w:widowControl w:val="0"/>
        <w:autoSpaceDE w:val="0"/>
        <w:autoSpaceDN w:val="0"/>
        <w:adjustRightInd w:val="0"/>
        <w:ind w:left="709" w:right="757"/>
        <w:jc w:val="both"/>
        <w:rPr>
          <w:rFonts w:ascii="Palatino Linotype" w:eastAsia="Calibri" w:hAnsi="Palatino Linotype" w:cs="Arial"/>
          <w:b/>
          <w:i/>
          <w:sz w:val="22"/>
        </w:rPr>
      </w:pPr>
      <w:r w:rsidRPr="00117970">
        <w:rPr>
          <w:rFonts w:ascii="Palatino Linotype" w:eastAsia="Calibri" w:hAnsi="Palatino Linotype" w:cs="Arial"/>
          <w:b/>
          <w:i/>
          <w:sz w:val="22"/>
        </w:rPr>
        <w:t>Artículo 217. Registro de los actos de investigación</w:t>
      </w:r>
    </w:p>
    <w:p w14:paraId="28CE3F09" w14:textId="77777777" w:rsidR="00117970" w:rsidRPr="00117970" w:rsidRDefault="00117970" w:rsidP="00117970">
      <w:pPr>
        <w:widowControl w:val="0"/>
        <w:autoSpaceDE w:val="0"/>
        <w:autoSpaceDN w:val="0"/>
        <w:adjustRightInd w:val="0"/>
        <w:ind w:left="709" w:right="757"/>
        <w:jc w:val="both"/>
        <w:rPr>
          <w:rFonts w:ascii="Palatino Linotype" w:eastAsia="Calibri" w:hAnsi="Palatino Linotype" w:cs="Arial"/>
          <w:b/>
          <w:i/>
          <w:sz w:val="22"/>
        </w:rPr>
      </w:pPr>
    </w:p>
    <w:p w14:paraId="3A51A990" w14:textId="105505DA"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r w:rsidRPr="00117970">
        <w:rPr>
          <w:rFonts w:ascii="Palatino Linotype" w:eastAsia="Calibri" w:hAnsi="Palatino Linotype" w:cs="Arial"/>
          <w:i/>
          <w:sz w:val="22"/>
        </w:rPr>
        <w:t>El Ministerio Público y la Policía deberán dejar registro de todas las actuaciones que se realicen durante la investigación de los delitos, utilizando al efecto cualquier medio que permita garantizar que la información recabada sea completa, íntegra y exacta, así como el acceso a la misma por parte de los sujetos que de acuerdo con la ley tuvieren derecho a exigirlo.</w:t>
      </w:r>
    </w:p>
    <w:p w14:paraId="69E2D3E6"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p>
    <w:p w14:paraId="3DE80F8C"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r w:rsidRPr="00117970">
        <w:rPr>
          <w:rFonts w:ascii="Palatino Linotype" w:eastAsia="Calibri" w:hAnsi="Palatino Linotype" w:cs="Arial"/>
          <w:i/>
          <w:sz w:val="22"/>
        </w:rPr>
        <w:lastRenderedPageBreak/>
        <w:t xml:space="preserve">Cada acto de investigación se registrará por separado, y será firmado por quienes hayan intervenido. Si no quisieren o no pudieren firmar, se imprimirá su huella digital. </w:t>
      </w:r>
    </w:p>
    <w:p w14:paraId="0AA94468"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p>
    <w:p w14:paraId="1AB1F564"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r w:rsidRPr="00117970">
        <w:rPr>
          <w:rFonts w:ascii="Palatino Linotype" w:eastAsia="Calibri" w:hAnsi="Palatino Linotype" w:cs="Arial"/>
          <w:i/>
          <w:sz w:val="22"/>
        </w:rPr>
        <w:t xml:space="preserve">En caso de que esto no sea posible o la persona se niegue a imprimir su huella, se hará constar el motivo. </w:t>
      </w:r>
    </w:p>
    <w:p w14:paraId="381FCC3A"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p>
    <w:p w14:paraId="36EAB12D"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r w:rsidRPr="00117970">
        <w:rPr>
          <w:rFonts w:ascii="Palatino Linotype" w:eastAsia="Calibri" w:hAnsi="Palatino Linotype" w:cs="Arial"/>
          <w:i/>
          <w:sz w:val="22"/>
        </w:rPr>
        <w:t>El registro de cada actuación deberá contener por lo menos la indicación de la fecha, hora y lugar en que se haya efectuado, identificación de los servidores públicos y demás personas que hayan intervenido y una breve descripción de la actuación y, en su caso, de sus resultados.</w:t>
      </w:r>
    </w:p>
    <w:p w14:paraId="649BD899"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p>
    <w:p w14:paraId="49D149D6"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b/>
          <w:i/>
          <w:sz w:val="22"/>
        </w:rPr>
      </w:pPr>
      <w:r w:rsidRPr="00117970">
        <w:rPr>
          <w:rFonts w:ascii="Palatino Linotype" w:eastAsia="Calibri" w:hAnsi="Palatino Linotype" w:cs="Arial"/>
          <w:b/>
          <w:i/>
          <w:sz w:val="22"/>
        </w:rPr>
        <w:t>Artículo 218. Reserva de los actos de investigación</w:t>
      </w:r>
    </w:p>
    <w:p w14:paraId="7D0A71ED"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r w:rsidRPr="00117970">
        <w:rPr>
          <w:rFonts w:ascii="Palatino Linotype" w:eastAsia="Calibri" w:hAnsi="Palatino Linotype" w:cs="Arial"/>
          <w:i/>
          <w:sz w:val="22"/>
        </w:rPr>
        <w:t xml:space="preserve">Los registros de la investigación, así como todos los documentos, independientemente de su contenido o naturaleza, los objetos, los registros de voz e imágenes o cosas que le estén relacionados, </w:t>
      </w:r>
      <w:r w:rsidRPr="00117970">
        <w:rPr>
          <w:rFonts w:ascii="Palatino Linotype" w:eastAsia="Calibri" w:hAnsi="Palatino Linotype" w:cs="Arial"/>
          <w:b/>
          <w:i/>
          <w:sz w:val="22"/>
        </w:rPr>
        <w:t>son estrictamente reservados, por lo que únicamente las partes, podrán tener acceso a los mismos</w:t>
      </w:r>
      <w:r w:rsidRPr="00117970">
        <w:rPr>
          <w:rFonts w:ascii="Palatino Linotype" w:eastAsia="Calibri" w:hAnsi="Palatino Linotype" w:cs="Arial"/>
          <w:i/>
          <w:sz w:val="22"/>
        </w:rPr>
        <w:t>, con las limitaciones establecidas en este Código y demás disposiciones aplicables.</w:t>
      </w:r>
    </w:p>
    <w:p w14:paraId="14C1937A"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p>
    <w:p w14:paraId="614364E4"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r w:rsidRPr="00117970">
        <w:rPr>
          <w:rFonts w:ascii="Palatino Linotype" w:eastAsia="Calibri" w:hAnsi="Palatino Linotype" w:cs="Arial"/>
          <w:i/>
          <w:sz w:val="22"/>
        </w:rPr>
        <w:t>La víctima u ofendido y su Asesor Jurídico podrán tener acceso a los registros de la investigación en cualquier momento.</w:t>
      </w:r>
    </w:p>
    <w:p w14:paraId="71827A28"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p>
    <w:p w14:paraId="35954FFC"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r w:rsidRPr="00117970">
        <w:rPr>
          <w:rFonts w:ascii="Palatino Linotype" w:eastAsia="Calibri" w:hAnsi="Palatino Linotype" w:cs="Arial"/>
          <w:i/>
          <w:sz w:val="22"/>
        </w:rPr>
        <w:t>El imputado y su defensor podrán tener acceso a ellos cuando se encuentre detenido,  sea citado para comparecer como imputado o sea sujeto de un acto de molestia y se pretenda recibir su entrevista, a partir de este momento ya no podrán mantenerse en reserva los registros para el imputado o su Defensor a fin de no afectar su derecho de defensa. Para los efectos de este párrafo, se entenderá como acto de molestia lo dispuesto en el artículo 266 de este Código.</w:t>
      </w:r>
    </w:p>
    <w:p w14:paraId="3C2A4F56"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p>
    <w:p w14:paraId="3E327973"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r w:rsidRPr="00117970">
        <w:rPr>
          <w:rFonts w:ascii="Palatino Linotype" w:eastAsia="Calibri" w:hAnsi="Palatino Linotype" w:cs="Arial"/>
          <w:i/>
          <w:sz w:val="22"/>
        </w:rPr>
        <w:t>En ningún caso la reserva de los registros podrá hacerse valer en perjuicio del imputado y su Defensor, una vez dictado el auto de vinculación a proceso, salvo lo previsto en este Código o en las leyes especiales.</w:t>
      </w:r>
    </w:p>
    <w:p w14:paraId="3169F723" w14:textId="77777777"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p>
    <w:p w14:paraId="2BBE5C0B" w14:textId="493AC2B2" w:rsidR="00CA7BF4" w:rsidRPr="00117970" w:rsidRDefault="00CA7BF4" w:rsidP="00117970">
      <w:pPr>
        <w:widowControl w:val="0"/>
        <w:autoSpaceDE w:val="0"/>
        <w:autoSpaceDN w:val="0"/>
        <w:adjustRightInd w:val="0"/>
        <w:ind w:left="709" w:right="757"/>
        <w:jc w:val="both"/>
        <w:rPr>
          <w:rFonts w:ascii="Palatino Linotype" w:eastAsia="Calibri" w:hAnsi="Palatino Linotype" w:cs="Arial"/>
          <w:i/>
          <w:sz w:val="22"/>
        </w:rPr>
      </w:pPr>
      <w:r w:rsidRPr="00117970">
        <w:rPr>
          <w:rFonts w:ascii="Palatino Linotype" w:eastAsia="Calibri" w:hAnsi="Palatino Linotype" w:cs="Arial"/>
          <w:i/>
          <w:sz w:val="22"/>
        </w:rPr>
        <w:t xml:space="preserve">Para efectos de acceso a la información pública gubernamental, el Ministerio Público únicamente deberá proporcionar una versión pública de las determinaciones de no ejercicio de la acción penal, archivo temporal o de aplicación de un criterio de oportunidad, siempre que haya transcurrido un plazo igual al de prescripción de los </w:t>
      </w:r>
      <w:r w:rsidRPr="00117970">
        <w:rPr>
          <w:rFonts w:ascii="Palatino Linotype" w:eastAsia="Calibri" w:hAnsi="Palatino Linotype" w:cs="Arial"/>
          <w:i/>
          <w:sz w:val="22"/>
        </w:rPr>
        <w:lastRenderedPageBreak/>
        <w:t>delitos de que se trate, de conformidad con lo dispuesto en el Código Penal Federal o estatal correspondiente, sin que pueda ser menor de tres años, ni mayor de doce años, contado a partir de que dicha determinación haya quedado firme.</w:t>
      </w:r>
    </w:p>
    <w:p w14:paraId="29C327FA" w14:textId="77777777" w:rsidR="00C92380" w:rsidRDefault="00C92380" w:rsidP="00E60FF4">
      <w:pPr>
        <w:widowControl w:val="0"/>
        <w:autoSpaceDE w:val="0"/>
        <w:autoSpaceDN w:val="0"/>
        <w:adjustRightInd w:val="0"/>
        <w:spacing w:line="360" w:lineRule="auto"/>
        <w:jc w:val="both"/>
        <w:rPr>
          <w:rFonts w:ascii="Palatino Linotype" w:eastAsia="Calibri" w:hAnsi="Palatino Linotype" w:cs="Arial"/>
        </w:rPr>
      </w:pPr>
    </w:p>
    <w:p w14:paraId="45A19E32" w14:textId="37709F2B" w:rsidR="00F33012" w:rsidRPr="00012637" w:rsidRDefault="00F33012" w:rsidP="003465DB">
      <w:pPr>
        <w:widowControl w:val="0"/>
        <w:autoSpaceDE w:val="0"/>
        <w:autoSpaceDN w:val="0"/>
        <w:adjustRightInd w:val="0"/>
        <w:spacing w:line="360" w:lineRule="auto"/>
        <w:jc w:val="both"/>
        <w:rPr>
          <w:rFonts w:ascii="Palatino Linotype" w:eastAsia="Calibri" w:hAnsi="Palatino Linotype" w:cs="Arial"/>
        </w:rPr>
      </w:pPr>
      <w:r w:rsidRPr="00012637">
        <w:rPr>
          <w:rFonts w:ascii="Palatino Linotype" w:eastAsia="Calibri" w:hAnsi="Palatino Linotype" w:cs="Arial"/>
        </w:rPr>
        <w:t>E</w:t>
      </w:r>
      <w:r w:rsidR="00D251A1">
        <w:rPr>
          <w:rFonts w:ascii="Palatino Linotype" w:eastAsia="Calibri" w:hAnsi="Palatino Linotype" w:cs="Arial"/>
        </w:rPr>
        <w:t xml:space="preserve">n este sentido, es de señalar que </w:t>
      </w:r>
      <w:r w:rsidRPr="00012637">
        <w:rPr>
          <w:rFonts w:ascii="Palatino Linotype" w:eastAsia="Calibri" w:hAnsi="Palatino Linotype" w:cs="Arial"/>
        </w:rPr>
        <w:t>le corresponde al Ministerio Público otorgar el acceso a las partes de la averiguación previa</w:t>
      </w:r>
      <w:r w:rsidR="005225CF">
        <w:rPr>
          <w:rFonts w:ascii="Palatino Linotype" w:eastAsia="Calibri" w:hAnsi="Palatino Linotype" w:cs="Arial"/>
        </w:rPr>
        <w:t xml:space="preserve"> o carpeta de investigación</w:t>
      </w:r>
      <w:r w:rsidRPr="00012637">
        <w:rPr>
          <w:rFonts w:ascii="Palatino Linotype" w:eastAsia="Calibri" w:hAnsi="Palatino Linotype" w:cs="Arial"/>
        </w:rPr>
        <w:t xml:space="preserve"> puesto que expresamente el </w:t>
      </w:r>
      <w:r w:rsidR="00117970" w:rsidRPr="00012637">
        <w:rPr>
          <w:rFonts w:ascii="Palatino Linotype" w:eastAsia="Calibri" w:hAnsi="Palatino Linotype" w:cs="Arial"/>
        </w:rPr>
        <w:t>artículo</w:t>
      </w:r>
      <w:r w:rsidRPr="00012637">
        <w:rPr>
          <w:rFonts w:ascii="Palatino Linotype" w:eastAsia="Calibri" w:hAnsi="Palatino Linotype" w:cs="Arial"/>
        </w:rPr>
        <w:t xml:space="preserve"> </w:t>
      </w:r>
      <w:r w:rsidR="003465DB">
        <w:rPr>
          <w:rFonts w:ascii="Palatino Linotype" w:eastAsia="Calibri" w:hAnsi="Palatino Linotype" w:cs="Arial"/>
        </w:rPr>
        <w:t>217</w:t>
      </w:r>
      <w:r w:rsidRPr="00012637">
        <w:rPr>
          <w:rFonts w:ascii="Palatino Linotype" w:eastAsia="Calibri" w:hAnsi="Palatino Linotype" w:cs="Arial"/>
        </w:rPr>
        <w:t xml:space="preserve"> del </w:t>
      </w:r>
      <w:r w:rsidR="003465DB" w:rsidRPr="003465DB">
        <w:rPr>
          <w:rFonts w:ascii="Palatino Linotype" w:eastAsia="Calibri" w:hAnsi="Palatino Linotype" w:cs="Arial"/>
        </w:rPr>
        <w:t xml:space="preserve">Código Nacional </w:t>
      </w:r>
      <w:r w:rsidR="003465DB">
        <w:rPr>
          <w:rFonts w:ascii="Palatino Linotype" w:eastAsia="Calibri" w:hAnsi="Palatino Linotype" w:cs="Arial"/>
        </w:rPr>
        <w:t>d</w:t>
      </w:r>
      <w:r w:rsidR="003465DB" w:rsidRPr="003465DB">
        <w:rPr>
          <w:rFonts w:ascii="Palatino Linotype" w:eastAsia="Calibri" w:hAnsi="Palatino Linotype" w:cs="Arial"/>
        </w:rPr>
        <w:t xml:space="preserve">e Procedimientos Penales </w:t>
      </w:r>
      <w:r w:rsidRPr="00012637">
        <w:rPr>
          <w:rFonts w:ascii="Palatino Linotype" w:eastAsia="Calibri" w:hAnsi="Palatino Linotype" w:cs="Arial"/>
        </w:rPr>
        <w:t xml:space="preserve">vigente en el año </w:t>
      </w:r>
      <w:r w:rsidR="003465DB">
        <w:rPr>
          <w:rFonts w:ascii="Palatino Linotype" w:eastAsia="Calibri" w:hAnsi="Palatino Linotype" w:cs="Arial"/>
        </w:rPr>
        <w:t>2016</w:t>
      </w:r>
      <w:r w:rsidRPr="00012637">
        <w:rPr>
          <w:rFonts w:ascii="Palatino Linotype" w:eastAsia="Calibri" w:hAnsi="Palatino Linotype" w:cs="Arial"/>
        </w:rPr>
        <w:t xml:space="preserve"> y aplicable para el asunto </w:t>
      </w:r>
      <w:r w:rsidR="00A67C9B" w:rsidRPr="00012637">
        <w:rPr>
          <w:rFonts w:ascii="Palatino Linotype" w:eastAsia="Calibri" w:hAnsi="Palatino Linotype" w:cs="Arial"/>
        </w:rPr>
        <w:t>que</w:t>
      </w:r>
      <w:r w:rsidRPr="00012637">
        <w:rPr>
          <w:rFonts w:ascii="Palatino Linotype" w:eastAsia="Calibri" w:hAnsi="Palatino Linotype" w:cs="Arial"/>
        </w:rPr>
        <w:t xml:space="preserve"> nos ocupa menciona que “</w:t>
      </w:r>
      <w:r w:rsidR="003465DB" w:rsidRPr="003465DB">
        <w:rPr>
          <w:rFonts w:ascii="Palatino Linotype" w:eastAsia="Calibri" w:hAnsi="Palatino Linotype" w:cs="Arial"/>
        </w:rPr>
        <w:t>El Ministerio Público y la Policía deberán dejar registro de todas las actuaciones</w:t>
      </w:r>
      <w:r w:rsidR="003465DB">
        <w:rPr>
          <w:rFonts w:ascii="Palatino Linotype" w:eastAsia="Calibri" w:hAnsi="Palatino Linotype" w:cs="Arial"/>
        </w:rPr>
        <w:t xml:space="preserve"> </w:t>
      </w:r>
      <w:r w:rsidR="003465DB" w:rsidRPr="003465DB">
        <w:rPr>
          <w:rFonts w:ascii="Palatino Linotype" w:eastAsia="Calibri" w:hAnsi="Palatino Linotype" w:cs="Arial"/>
        </w:rPr>
        <w:t>que se realicen durante la investigación de los delitos, utilizando al efecto</w:t>
      </w:r>
      <w:r w:rsidR="003465DB">
        <w:rPr>
          <w:rFonts w:ascii="Palatino Linotype" w:eastAsia="Calibri" w:hAnsi="Palatino Linotype" w:cs="Arial"/>
        </w:rPr>
        <w:t xml:space="preserve"> </w:t>
      </w:r>
      <w:r w:rsidR="003465DB" w:rsidRPr="003465DB">
        <w:rPr>
          <w:rFonts w:ascii="Palatino Linotype" w:eastAsia="Calibri" w:hAnsi="Palatino Linotype" w:cs="Arial"/>
        </w:rPr>
        <w:t>cualquier medio que permita garantizar que la información recabada sea completa,</w:t>
      </w:r>
      <w:r w:rsidR="003465DB">
        <w:rPr>
          <w:rFonts w:ascii="Palatino Linotype" w:eastAsia="Calibri" w:hAnsi="Palatino Linotype" w:cs="Arial"/>
        </w:rPr>
        <w:t xml:space="preserve"> </w:t>
      </w:r>
      <w:r w:rsidR="003465DB" w:rsidRPr="003465DB">
        <w:rPr>
          <w:rFonts w:ascii="Palatino Linotype" w:eastAsia="Calibri" w:hAnsi="Palatino Linotype" w:cs="Arial"/>
        </w:rPr>
        <w:t xml:space="preserve">íntegra y exacta, así como </w:t>
      </w:r>
      <w:r w:rsidR="003465DB" w:rsidRPr="003465DB">
        <w:rPr>
          <w:rFonts w:ascii="Palatino Linotype" w:eastAsia="Calibri" w:hAnsi="Palatino Linotype" w:cs="Arial"/>
          <w:b/>
        </w:rPr>
        <w:t>el acceso a la misma por parte de los sujetos que de acuerdo con la ley tuvieren derecho a exigirlo</w:t>
      </w:r>
      <w:r w:rsidRPr="00012637">
        <w:rPr>
          <w:rFonts w:ascii="Palatino Linotype" w:eastAsia="Calibri" w:hAnsi="Palatino Linotype" w:cs="Arial"/>
        </w:rPr>
        <w:t>.”</w:t>
      </w:r>
    </w:p>
    <w:p w14:paraId="78916394" w14:textId="77777777" w:rsidR="00F33012" w:rsidRPr="00012637" w:rsidRDefault="00F33012" w:rsidP="00E60FF4">
      <w:pPr>
        <w:widowControl w:val="0"/>
        <w:autoSpaceDE w:val="0"/>
        <w:autoSpaceDN w:val="0"/>
        <w:adjustRightInd w:val="0"/>
        <w:spacing w:line="360" w:lineRule="auto"/>
        <w:jc w:val="both"/>
        <w:rPr>
          <w:rFonts w:ascii="Palatino Linotype" w:eastAsia="Calibri" w:hAnsi="Palatino Linotype" w:cs="Arial"/>
        </w:rPr>
      </w:pPr>
    </w:p>
    <w:p w14:paraId="280A6854" w14:textId="3539EAB3" w:rsidR="00E60FF4" w:rsidRPr="00012637" w:rsidRDefault="00E60FF4" w:rsidP="00E60FF4">
      <w:pPr>
        <w:widowControl w:val="0"/>
        <w:autoSpaceDE w:val="0"/>
        <w:autoSpaceDN w:val="0"/>
        <w:adjustRightInd w:val="0"/>
        <w:spacing w:line="360" w:lineRule="auto"/>
        <w:jc w:val="both"/>
        <w:rPr>
          <w:rFonts w:ascii="Palatino Linotype" w:eastAsia="Calibri" w:hAnsi="Palatino Linotype" w:cs="Arial"/>
        </w:rPr>
      </w:pPr>
      <w:r w:rsidRPr="00012637">
        <w:rPr>
          <w:rFonts w:ascii="Palatino Linotype" w:eastAsia="Calibri" w:hAnsi="Palatino Linotype" w:cs="Arial"/>
        </w:rPr>
        <w:t>Es así que</w:t>
      </w:r>
      <w:r w:rsidR="00016039" w:rsidRPr="00012637">
        <w:rPr>
          <w:rFonts w:ascii="Palatino Linotype" w:eastAsia="Calibri" w:hAnsi="Palatino Linotype" w:cs="Arial"/>
        </w:rPr>
        <w:t>,</w:t>
      </w:r>
      <w:r w:rsidRPr="00012637">
        <w:rPr>
          <w:rFonts w:ascii="Palatino Linotype" w:eastAsia="Calibri" w:hAnsi="Palatino Linotype" w:cs="Arial"/>
        </w:rPr>
        <w:t xml:space="preserve"> </w:t>
      </w:r>
      <w:r w:rsidR="00016039" w:rsidRPr="00012637">
        <w:rPr>
          <w:rFonts w:ascii="Palatino Linotype" w:eastAsia="Calibri" w:hAnsi="Palatino Linotype" w:cs="Arial"/>
        </w:rPr>
        <w:t>se</w:t>
      </w:r>
      <w:r w:rsidR="00D55A3D">
        <w:rPr>
          <w:rFonts w:ascii="Palatino Linotype" w:eastAsia="Calibri" w:hAnsi="Palatino Linotype" w:cs="Arial"/>
        </w:rPr>
        <w:t xml:space="preserve"> podrá</w:t>
      </w:r>
      <w:r w:rsidRPr="00012637">
        <w:rPr>
          <w:rFonts w:ascii="Palatino Linotype" w:eastAsia="Calibri" w:hAnsi="Palatino Linotype" w:cs="Arial"/>
        </w:rPr>
        <w:t xml:space="preserve"> permitir el acceso total o parcial bajo la más estricta responsabilidad a efecto de emitir las actuaciones que a su derecho convengan; esto, siempre que se forme parte del procedimiento</w:t>
      </w:r>
      <w:r w:rsidR="00016039" w:rsidRPr="00012637">
        <w:rPr>
          <w:rFonts w:ascii="Palatino Linotype" w:eastAsia="Calibri" w:hAnsi="Palatino Linotype" w:cs="Arial"/>
        </w:rPr>
        <w:t xml:space="preserve"> de que se trate</w:t>
      </w:r>
      <w:r w:rsidRPr="00012637">
        <w:rPr>
          <w:rFonts w:ascii="Palatino Linotype" w:eastAsia="Calibri" w:hAnsi="Palatino Linotype" w:cs="Arial"/>
        </w:rPr>
        <w:t xml:space="preserve"> y darle atención a la debida y adecuada defensa. Asimismo, si la persona que desea tener acceso a un</w:t>
      </w:r>
      <w:r w:rsidR="00016039" w:rsidRPr="00012637">
        <w:rPr>
          <w:rFonts w:ascii="Palatino Linotype" w:eastAsia="Calibri" w:hAnsi="Palatino Linotype" w:cs="Arial"/>
        </w:rPr>
        <w:t xml:space="preserve">a carpeta de </w:t>
      </w:r>
      <w:r w:rsidR="00A67C9B" w:rsidRPr="00012637">
        <w:rPr>
          <w:rFonts w:ascii="Palatino Linotype" w:eastAsia="Calibri" w:hAnsi="Palatino Linotype" w:cs="Arial"/>
        </w:rPr>
        <w:t>investigación</w:t>
      </w:r>
      <w:r w:rsidRPr="00012637">
        <w:rPr>
          <w:rFonts w:ascii="Palatino Linotype" w:eastAsia="Calibri" w:hAnsi="Palatino Linotype" w:cs="Arial"/>
        </w:rPr>
        <w:t xml:space="preserve"> no intervino en el asunto, es inminente la ausencia de interés jurídico para acceder a tales actuaciones, lo que conlleva a una restricción permisiva por la propia </w:t>
      </w:r>
      <w:r w:rsidR="00A67C9B" w:rsidRPr="00012637">
        <w:rPr>
          <w:rFonts w:ascii="Palatino Linotype" w:eastAsia="Calibri" w:hAnsi="Palatino Linotype" w:cs="Arial"/>
        </w:rPr>
        <w:t>L</w:t>
      </w:r>
      <w:r w:rsidRPr="00012637">
        <w:rPr>
          <w:rFonts w:ascii="Palatino Linotype" w:eastAsia="Calibri" w:hAnsi="Palatino Linotype" w:cs="Arial"/>
        </w:rPr>
        <w:t xml:space="preserve">ey, es decir, la clasificación de la información, misma que no está encaminada a impedir la defensa adecuada sino por el contrario, garantizar la protección de datos personales </w:t>
      </w:r>
      <w:r w:rsidR="00A67C9B" w:rsidRPr="00012637">
        <w:rPr>
          <w:rFonts w:ascii="Palatino Linotype" w:eastAsia="Calibri" w:hAnsi="Palatino Linotype" w:cs="Arial"/>
        </w:rPr>
        <w:t xml:space="preserve">de las partes </w:t>
      </w:r>
      <w:r w:rsidRPr="00012637">
        <w:rPr>
          <w:rFonts w:ascii="Palatino Linotype" w:eastAsia="Calibri" w:hAnsi="Palatino Linotype" w:cs="Arial"/>
        </w:rPr>
        <w:t xml:space="preserve">y evitar su modificación, menoscabo, </w:t>
      </w:r>
      <w:r w:rsidRPr="00012637">
        <w:rPr>
          <w:rFonts w:ascii="Palatino Linotype" w:eastAsia="Calibri" w:hAnsi="Palatino Linotype" w:cs="Arial"/>
        </w:rPr>
        <w:lastRenderedPageBreak/>
        <w:t>transferencia, divulgación o acceso no permitido a personas distintas a las que actúan y que no guardan relación con el asunto</w:t>
      </w:r>
      <w:r w:rsidR="00A67C9B" w:rsidRPr="00012637">
        <w:rPr>
          <w:rFonts w:ascii="Palatino Linotype" w:eastAsia="Calibri" w:hAnsi="Palatino Linotype" w:cs="Arial"/>
        </w:rPr>
        <w:t>, refuerzo de lo anterior es el jurisprudencial que a continuación se cita:</w:t>
      </w:r>
    </w:p>
    <w:p w14:paraId="12DBBAFD" w14:textId="77777777" w:rsidR="00A67C9B" w:rsidRPr="00012637" w:rsidRDefault="00A67C9B" w:rsidP="00E60FF4">
      <w:pPr>
        <w:widowControl w:val="0"/>
        <w:autoSpaceDE w:val="0"/>
        <w:autoSpaceDN w:val="0"/>
        <w:adjustRightInd w:val="0"/>
        <w:spacing w:line="360" w:lineRule="auto"/>
        <w:jc w:val="both"/>
        <w:rPr>
          <w:rFonts w:ascii="Palatino Linotype" w:eastAsia="Calibri" w:hAnsi="Palatino Linotype" w:cs="Arial"/>
        </w:rPr>
      </w:pPr>
    </w:p>
    <w:p w14:paraId="7633C4BA"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 xml:space="preserve">Época: Décima Época </w:t>
      </w:r>
    </w:p>
    <w:p w14:paraId="3B0F14F9"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 xml:space="preserve">Registro: 2016501 </w:t>
      </w:r>
    </w:p>
    <w:p w14:paraId="4CA4629B"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 xml:space="preserve">Instancia: Tribunales Colegiados de Circuito </w:t>
      </w:r>
    </w:p>
    <w:p w14:paraId="5967BF74"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 xml:space="preserve">Tipo de Tesis: Aislada </w:t>
      </w:r>
    </w:p>
    <w:p w14:paraId="7C28BB99"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 xml:space="preserve">Fuente: Gaceta del Semanario Judicial de la Federación </w:t>
      </w:r>
    </w:p>
    <w:p w14:paraId="41B1E374"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 xml:space="preserve">Libro 52, Marzo de 2018, Tomo IV </w:t>
      </w:r>
    </w:p>
    <w:p w14:paraId="606FB12E"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 xml:space="preserve">Materia(s): Constitucional </w:t>
      </w:r>
    </w:p>
    <w:p w14:paraId="37ED1BF6"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 xml:space="preserve">Tesis: I.9o.P.183 P (10a.) </w:t>
      </w:r>
    </w:p>
    <w:p w14:paraId="1E567593"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 xml:space="preserve">Página: 3330 </w:t>
      </w:r>
    </w:p>
    <w:p w14:paraId="75E94DA2"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p>
    <w:p w14:paraId="4E9F4EEC" w14:textId="75E95043"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b/>
          <w:i/>
          <w:sz w:val="22"/>
        </w:rPr>
        <w:t>AVERIGUACIÓN PREVIA. LA "PRUEBA DE DAÑO" PREVISTA EN LAS LEYES FEDERAL Y GENERAL DE TRANSPARENCIA Y ACCESO A LA INFORMACIÓN PÚBLICA, INSTITUIDA PARA DETERMINAR SI SE PERMITE EL ACCESO A INFORMACIÓN RESERVADA, ES INAPLICABLE PARA QUIENES SON PARTE EN LA INDAGATORIA, POR LO QUE UTILIZARLA PARA RESTRINGIRLES EL ACCESO A LAS CONSTANCIAS QUE LA INTEGRAN, CONSTITUYE UNA CARGA DESPROPORCIONADA, INCOMPATIBLE CON EL DERECHO DE DEFENSA ADECUADA.</w:t>
      </w:r>
      <w:r w:rsidRPr="00D251A1">
        <w:rPr>
          <w:rFonts w:ascii="Palatino Linotype" w:eastAsia="Calibri" w:hAnsi="Palatino Linotype" w:cs="Arial"/>
          <w:i/>
          <w:sz w:val="22"/>
        </w:rPr>
        <w:t xml:space="preserve">La Primera Sala de la Suprema Corte de Justicia de la Nación, al analizar el derecho de acceso a la información, determinó que la información reservada puede darse a conocer públicamente, mediante la elaboración de una "prueba de daño" -prevista en las Leyes Federal y General de Transparencia y Acceso a la Información Pública- que consiste, medularmente, en la facultad de la autoridad que posee la información solicitada para ponderar y valorar mediante la debida fundamentación y motivación, el proporcionarla o no, en tanto que su divulgación ponga en riesgo o pueda causar un perjuicio real al objetivo o principio que trata de salvaguardar, y de manera estricta debe demostrarse que el perjuicio u objetivo reservado, resulta mayormente afectado que los beneficios que podrían lograrse con la difusión de la información. Lo anterior, conforme al principio de buena fe en materia de acceso a la información, previsto en el artículo 6o., fracción III, de la Constitución Política de los Estados Unidos Mexicanos, el cual dispone que toda </w:t>
      </w:r>
      <w:r w:rsidRPr="00D251A1">
        <w:rPr>
          <w:rFonts w:ascii="Palatino Linotype" w:eastAsia="Calibri" w:hAnsi="Palatino Linotype" w:cs="Arial"/>
          <w:i/>
          <w:sz w:val="22"/>
        </w:rPr>
        <w:lastRenderedPageBreak/>
        <w:t>persona, sin necesidad de acreditar interés alguno o justificar su utilización, tendrá acceso gratuito a la información pública. Lo anterior le permitió concluir que los párrafos segundo, tercero y sexto del artículo 16 del Código Federal de Procedimientos Penales (abrogado), transgreden el derecho humano de acceso a la información, al prever que la contenida en una averiguación previa debe considerarse reservada, sin contener criterios que permitan determinar casuísticamente cuál es la información que debe reservarse. Ahora bien, tratándose de averiguaciones previas, esas consideraciones deben entenderse aplicables para terceros a ellas, esto es, cuando quien solicita la información no es parte en la indagatoria, pues para el inculpado, su defensor, la víctima u ofendido y su representante legal, la averiguación previa no puede considerarse como información reservada o confidencial, ni justifica la negativa de expedirles copias de las constancias que la integran, porque hacerlo constituye una carga desproporcionada, incompatible con el derecho de defensa adecuada, previsto en el artículo 20 de la Constitución Federal, aunado a que las partes gozan de legitimación para intervenir en la fase procesal de referencia, a fin de acreditar sus pretensiones y tienen conocimiento de los hechos. La anterior interpretación es acorde con el artículo 1o. constitucional y con lo sostenido por la Corte Interamericana de Derechos Humanos, en el caso "Radilla Pacheco Vs. Estados Unidos Mexicanos", en el que determinó que la negativa de expedir copias del expediente de una investigación a las víctimas, constituye una carga desproporcionada en su perjuicio, incompatible con el derecho a su participación en la averiguación previa y que, por tanto, el Estado debe contar con mecanismos menos lesivos al derecho de acceso a la justicia para proteger la difusión del contenido de las investigaciones en curso y la integridad de los expedientes.</w:t>
      </w:r>
    </w:p>
    <w:p w14:paraId="50A384BB"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p>
    <w:p w14:paraId="2C27E156"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NOVENO TRIBUNAL COLEGIADO EN MATERIA PENAL DEL PRIMER CIRCUITO.</w:t>
      </w:r>
    </w:p>
    <w:p w14:paraId="3EF5DF8C"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Amparo en revisión 294/2017. 1 de febrero de 2018. Unanimidad de votos. Ponente: Irma Rivero Ortiz de Alcántara. Secretario: José Trejo Martínez.</w:t>
      </w:r>
    </w:p>
    <w:p w14:paraId="4E852322" w14:textId="77777777" w:rsidR="00A67C9B" w:rsidRPr="00D251A1" w:rsidRDefault="00A67C9B" w:rsidP="00D251A1">
      <w:pPr>
        <w:widowControl w:val="0"/>
        <w:autoSpaceDE w:val="0"/>
        <w:autoSpaceDN w:val="0"/>
        <w:adjustRightInd w:val="0"/>
        <w:ind w:left="709" w:right="757"/>
        <w:jc w:val="both"/>
        <w:rPr>
          <w:rFonts w:ascii="Palatino Linotype" w:eastAsia="Calibri" w:hAnsi="Palatino Linotype" w:cs="Arial"/>
          <w:i/>
          <w:sz w:val="22"/>
        </w:rPr>
      </w:pPr>
      <w:r w:rsidRPr="00D251A1">
        <w:rPr>
          <w:rFonts w:ascii="Palatino Linotype" w:eastAsia="Calibri" w:hAnsi="Palatino Linotype" w:cs="Arial"/>
          <w:i/>
          <w:sz w:val="22"/>
        </w:rPr>
        <w:t>Esta tesis se publicó el viernes 23 de marzo de 2018 a las 10:26 horas en el Semanario Judicial de la Federación.</w:t>
      </w:r>
    </w:p>
    <w:p w14:paraId="12A13276" w14:textId="77777777" w:rsidR="00A67C9B" w:rsidRPr="00012637" w:rsidRDefault="00A67C9B" w:rsidP="00E60FF4">
      <w:pPr>
        <w:widowControl w:val="0"/>
        <w:autoSpaceDE w:val="0"/>
        <w:autoSpaceDN w:val="0"/>
        <w:adjustRightInd w:val="0"/>
        <w:spacing w:line="360" w:lineRule="auto"/>
        <w:jc w:val="both"/>
        <w:rPr>
          <w:rFonts w:ascii="Palatino Linotype" w:eastAsia="Calibri" w:hAnsi="Palatino Linotype" w:cs="Arial"/>
        </w:rPr>
      </w:pPr>
    </w:p>
    <w:p w14:paraId="7697137A" w14:textId="63C32FC5" w:rsidR="005225CF" w:rsidRDefault="005225CF" w:rsidP="00426458">
      <w:pPr>
        <w:spacing w:line="360" w:lineRule="auto"/>
        <w:jc w:val="both"/>
        <w:rPr>
          <w:rFonts w:ascii="Palatino Linotype" w:hAnsi="Palatino Linotype" w:cs="Arial"/>
        </w:rPr>
      </w:pPr>
      <w:r>
        <w:rPr>
          <w:rFonts w:ascii="Palatino Linotype" w:hAnsi="Palatino Linotype" w:cs="Arial"/>
        </w:rPr>
        <w:t>Por ello, se coincide tanto en lo general como en lo particular con el análisis realizado por la Ponencia R</w:t>
      </w:r>
      <w:r w:rsidR="009F5E60">
        <w:rPr>
          <w:rFonts w:ascii="Palatino Linotype" w:hAnsi="Palatino Linotype" w:cs="Arial"/>
        </w:rPr>
        <w:t xml:space="preserve">esolutora, y ante la falta de interés del solicitante, sea cual fuere el pronunciamiento del </w:t>
      </w:r>
      <w:r w:rsidR="009F5E60" w:rsidRPr="004A06A4">
        <w:rPr>
          <w:rFonts w:ascii="Palatino Linotype" w:hAnsi="Palatino Linotype" w:cs="Arial"/>
          <w:b/>
        </w:rPr>
        <w:t>SUJETO OBLIGADO</w:t>
      </w:r>
      <w:r w:rsidR="009F5E60">
        <w:rPr>
          <w:rFonts w:ascii="Palatino Linotype" w:hAnsi="Palatino Linotype" w:cs="Arial"/>
        </w:rPr>
        <w:t xml:space="preserve"> (ya sea en sentido positivo o negativo) se </w:t>
      </w:r>
      <w:r w:rsidR="009F5E60">
        <w:rPr>
          <w:rFonts w:ascii="Palatino Linotype" w:hAnsi="Palatino Linotype" w:cs="Arial"/>
        </w:rPr>
        <w:lastRenderedPageBreak/>
        <w:t xml:space="preserve">estaría danto a conocer la situación jurídica de particulares, por cuanto hace a su libertad, lo que se trata de datos personales sensibles que afectan a su esfera íntima, por lo que se considera que no es información susceptible de entrega ya que se  vincula directamente con el titular de derechos humanos. </w:t>
      </w:r>
    </w:p>
    <w:p w14:paraId="33778449" w14:textId="77777777" w:rsidR="009F5E60" w:rsidRDefault="009F5E60" w:rsidP="00426458">
      <w:pPr>
        <w:spacing w:line="360" w:lineRule="auto"/>
        <w:jc w:val="both"/>
        <w:rPr>
          <w:rFonts w:ascii="Palatino Linotype" w:hAnsi="Palatino Linotype" w:cs="Arial"/>
        </w:rPr>
      </w:pPr>
    </w:p>
    <w:p w14:paraId="55641CED" w14:textId="12A7A79C" w:rsidR="00153E3A" w:rsidRDefault="00436D14" w:rsidP="00426458">
      <w:pPr>
        <w:spacing w:line="360" w:lineRule="auto"/>
        <w:jc w:val="both"/>
        <w:rPr>
          <w:rFonts w:ascii="Palatino Linotype" w:hAnsi="Palatino Linotype" w:cs="Arial"/>
        </w:rPr>
      </w:pPr>
      <w:r w:rsidRPr="00012637">
        <w:rPr>
          <w:rFonts w:ascii="Palatino Linotype" w:hAnsi="Palatino Linotype" w:cs="Arial"/>
        </w:rPr>
        <w:t xml:space="preserve">Ante ello, es de </w:t>
      </w:r>
      <w:r w:rsidR="00875BD4" w:rsidRPr="00012637">
        <w:rPr>
          <w:rFonts w:ascii="Palatino Linotype" w:hAnsi="Palatino Linotype" w:cs="Arial"/>
          <w:b/>
        </w:rPr>
        <w:t>OPINIÓ</w:t>
      </w:r>
      <w:r w:rsidRPr="00012637">
        <w:rPr>
          <w:rFonts w:ascii="Palatino Linotype" w:hAnsi="Palatino Linotype" w:cs="Arial"/>
          <w:b/>
        </w:rPr>
        <w:t>N PARTICULAR</w:t>
      </w:r>
      <w:r w:rsidRPr="00012637">
        <w:rPr>
          <w:rFonts w:ascii="Palatino Linotype" w:hAnsi="Palatino Linotype" w:cs="Arial"/>
        </w:rPr>
        <w:t xml:space="preserve"> el reforzar el </w:t>
      </w:r>
      <w:r w:rsidR="00442D69" w:rsidRPr="00012637">
        <w:rPr>
          <w:rFonts w:ascii="Palatino Linotype" w:hAnsi="Palatino Linotype" w:cs="Arial"/>
        </w:rPr>
        <w:t>análisis inmerso en la resolución del recurso de revisión de que se trata,</w:t>
      </w:r>
      <w:r w:rsidRPr="00012637">
        <w:rPr>
          <w:rFonts w:ascii="Palatino Linotype" w:hAnsi="Palatino Linotype" w:cs="Arial"/>
        </w:rPr>
        <w:t xml:space="preserve"> por lo que, </w:t>
      </w:r>
      <w:r w:rsidRPr="00012637">
        <w:rPr>
          <w:rFonts w:ascii="Palatino Linotype" w:hAnsi="Palatino Linotype" w:cs="Arial"/>
          <w:b/>
        </w:rPr>
        <w:t>EL SUJETO OBLIGADO</w:t>
      </w:r>
      <w:r w:rsidRPr="00012637">
        <w:rPr>
          <w:rFonts w:ascii="Palatino Linotype" w:hAnsi="Palatino Linotype" w:cs="Arial"/>
        </w:rPr>
        <w:t xml:space="preserve"> </w:t>
      </w:r>
      <w:r w:rsidR="00432F3D" w:rsidRPr="00012637">
        <w:rPr>
          <w:rFonts w:ascii="Palatino Linotype" w:hAnsi="Palatino Linotype" w:cs="Arial"/>
        </w:rPr>
        <w:t>fue oportuno en informar a</w:t>
      </w:r>
      <w:r w:rsidR="000142F9">
        <w:rPr>
          <w:rFonts w:ascii="Palatino Linotype" w:hAnsi="Palatino Linotype" w:cs="Arial"/>
        </w:rPr>
        <w:t>l</w:t>
      </w:r>
      <w:r w:rsidR="00432F3D" w:rsidRPr="00012637">
        <w:rPr>
          <w:rFonts w:ascii="Palatino Linotype" w:hAnsi="Palatino Linotype" w:cs="Arial"/>
          <w:b/>
        </w:rPr>
        <w:t xml:space="preserve"> RECURRENTE</w:t>
      </w:r>
      <w:r w:rsidR="000142F9">
        <w:rPr>
          <w:rFonts w:ascii="Palatino Linotype" w:hAnsi="Palatino Linotype" w:cs="Arial"/>
          <w:b/>
        </w:rPr>
        <w:t xml:space="preserve">, </w:t>
      </w:r>
      <w:r w:rsidR="000142F9" w:rsidRPr="000142F9">
        <w:rPr>
          <w:rFonts w:ascii="Palatino Linotype" w:hAnsi="Palatino Linotype" w:cs="Arial"/>
        </w:rPr>
        <w:t xml:space="preserve">el Sujeto Obligado competente </w:t>
      </w:r>
      <w:r w:rsidR="000142F9">
        <w:rPr>
          <w:rFonts w:ascii="Palatino Linotype" w:hAnsi="Palatino Linotype" w:cs="Arial"/>
        </w:rPr>
        <w:t>del</w:t>
      </w:r>
      <w:r w:rsidR="00432F3D" w:rsidRPr="00012637">
        <w:rPr>
          <w:rFonts w:ascii="Palatino Linotype" w:hAnsi="Palatino Linotype" w:cs="Arial"/>
        </w:rPr>
        <w:t xml:space="preserve"> trámite para poder acceder a l</w:t>
      </w:r>
      <w:r w:rsidR="000142F9">
        <w:rPr>
          <w:rFonts w:ascii="Palatino Linotype" w:hAnsi="Palatino Linotype" w:cs="Arial"/>
        </w:rPr>
        <w:t>os documentos que pudieran integrar las correspondientes</w:t>
      </w:r>
      <w:r w:rsidR="00432F3D" w:rsidRPr="00012637">
        <w:rPr>
          <w:rFonts w:ascii="Palatino Linotype" w:hAnsi="Palatino Linotype" w:cs="Arial"/>
        </w:rPr>
        <w:t xml:space="preserve"> carpeta</w:t>
      </w:r>
      <w:r w:rsidR="000142F9">
        <w:rPr>
          <w:rFonts w:ascii="Palatino Linotype" w:hAnsi="Palatino Linotype" w:cs="Arial"/>
        </w:rPr>
        <w:t>s</w:t>
      </w:r>
      <w:r w:rsidR="00432F3D" w:rsidRPr="00012637">
        <w:rPr>
          <w:rFonts w:ascii="Palatino Linotype" w:hAnsi="Palatino Linotype" w:cs="Arial"/>
        </w:rPr>
        <w:t xml:space="preserve"> de investigación</w:t>
      </w:r>
      <w:r w:rsidR="00A549D8">
        <w:rPr>
          <w:rFonts w:ascii="Palatino Linotype" w:hAnsi="Palatino Linotype" w:cs="Arial"/>
        </w:rPr>
        <w:t xml:space="preserve">, </w:t>
      </w:r>
      <w:r w:rsidR="00D55A3D">
        <w:rPr>
          <w:rFonts w:ascii="Palatino Linotype" w:hAnsi="Palatino Linotype" w:cs="Arial"/>
        </w:rPr>
        <w:t>averiguaciones previas</w:t>
      </w:r>
      <w:r w:rsidR="00A549D8">
        <w:rPr>
          <w:rFonts w:ascii="Palatino Linotype" w:hAnsi="Palatino Linotype" w:cs="Arial"/>
        </w:rPr>
        <w:t xml:space="preserve"> o aquellos</w:t>
      </w:r>
      <w:r w:rsidR="00D55A3D">
        <w:rPr>
          <w:rFonts w:ascii="Palatino Linotype" w:hAnsi="Palatino Linotype" w:cs="Arial"/>
        </w:rPr>
        <w:t xml:space="preserve"> documentos </w:t>
      </w:r>
      <w:r w:rsidR="00A549D8">
        <w:rPr>
          <w:rFonts w:ascii="Palatino Linotype" w:hAnsi="Palatino Linotype" w:cs="Arial"/>
        </w:rPr>
        <w:t>que den respuesta al por</w:t>
      </w:r>
      <w:r w:rsidR="00D55A3D">
        <w:rPr>
          <w:rFonts w:ascii="Palatino Linotype" w:hAnsi="Palatino Linotype" w:cs="Arial"/>
        </w:rPr>
        <w:t xml:space="preserve"> </w:t>
      </w:r>
      <w:r w:rsidR="00A549D8">
        <w:rPr>
          <w:rFonts w:ascii="Palatino Linotype" w:hAnsi="Palatino Linotype" w:cs="Arial"/>
        </w:rPr>
        <w:t>qué fueron detenidas las personas de quien se requiere la información;</w:t>
      </w:r>
      <w:r w:rsidR="00432F3D" w:rsidRPr="00012637">
        <w:rPr>
          <w:rFonts w:ascii="Palatino Linotype" w:hAnsi="Palatino Linotype" w:cs="Arial"/>
        </w:rPr>
        <w:t xml:space="preserve"> </w:t>
      </w:r>
      <w:r w:rsidR="000142F9">
        <w:rPr>
          <w:rFonts w:ascii="Palatino Linotype" w:hAnsi="Palatino Linotype" w:cs="Arial"/>
        </w:rPr>
        <w:t>sin embargo</w:t>
      </w:r>
      <w:r w:rsidR="00A549D8">
        <w:rPr>
          <w:rFonts w:ascii="Palatino Linotype" w:hAnsi="Palatino Linotype" w:cs="Arial"/>
        </w:rPr>
        <w:t>,</w:t>
      </w:r>
      <w:r w:rsidR="000142F9">
        <w:rPr>
          <w:rFonts w:ascii="Palatino Linotype" w:hAnsi="Palatino Linotype" w:cs="Arial"/>
        </w:rPr>
        <w:t xml:space="preserve"> se insiste que</w:t>
      </w:r>
      <w:r w:rsidR="00432F3D" w:rsidRPr="00012637">
        <w:rPr>
          <w:rFonts w:ascii="Palatino Linotype" w:hAnsi="Palatino Linotype" w:cs="Arial"/>
        </w:rPr>
        <w:t xml:space="preserve"> </w:t>
      </w:r>
      <w:r w:rsidR="00012637" w:rsidRPr="00012637">
        <w:rPr>
          <w:rFonts w:ascii="Palatino Linotype" w:hAnsi="Palatino Linotype" w:cs="Arial"/>
        </w:rPr>
        <w:t xml:space="preserve">el accionar del derecho de acceso a la información pública no es la vía para que las partes accedan a </w:t>
      </w:r>
      <w:r w:rsidR="00D55A3D">
        <w:rPr>
          <w:rFonts w:ascii="Palatino Linotype" w:hAnsi="Palatino Linotype" w:cs="Arial"/>
        </w:rPr>
        <w:t>tales documentos</w:t>
      </w:r>
      <w:r w:rsidR="00012637" w:rsidRPr="00012637">
        <w:rPr>
          <w:rFonts w:ascii="Palatino Linotype" w:hAnsi="Palatino Linotype" w:cs="Arial"/>
        </w:rPr>
        <w:t xml:space="preserve"> pues se </w:t>
      </w:r>
      <w:r w:rsidR="00D55A3D">
        <w:rPr>
          <w:rFonts w:ascii="Palatino Linotype" w:hAnsi="Palatino Linotype" w:cs="Arial"/>
        </w:rPr>
        <w:t>carece de</w:t>
      </w:r>
      <w:r w:rsidR="00012637" w:rsidRPr="00012637">
        <w:rPr>
          <w:rFonts w:ascii="Palatino Linotype" w:hAnsi="Palatino Linotype" w:cs="Arial"/>
        </w:rPr>
        <w:t xml:space="preserve"> legitimación para</w:t>
      </w:r>
      <w:r w:rsidR="00497C94">
        <w:rPr>
          <w:rFonts w:ascii="Palatino Linotype" w:hAnsi="Palatino Linotype" w:cs="Arial"/>
        </w:rPr>
        <w:t xml:space="preserve"> intervenir en la fase procesal, </w:t>
      </w:r>
      <w:r w:rsidR="00012637" w:rsidRPr="00012637">
        <w:rPr>
          <w:rFonts w:ascii="Palatino Linotype" w:hAnsi="Palatino Linotype" w:cs="Arial"/>
        </w:rPr>
        <w:t xml:space="preserve">en atención a su derecho de defensa adecuada. </w:t>
      </w:r>
    </w:p>
    <w:p w14:paraId="4106D1C0" w14:textId="77777777" w:rsidR="00A549D8" w:rsidRPr="00B04471" w:rsidRDefault="00A549D8" w:rsidP="00426458">
      <w:pPr>
        <w:spacing w:line="360" w:lineRule="auto"/>
        <w:jc w:val="both"/>
        <w:rPr>
          <w:rFonts w:ascii="Palatino Linotype" w:hAnsi="Palatino Linotype" w:cs="Arial"/>
          <w:sz w:val="16"/>
        </w:rPr>
      </w:pPr>
    </w:p>
    <w:tbl>
      <w:tblPr>
        <w:tblW w:w="4393" w:type="dxa"/>
        <w:jc w:val="center"/>
        <w:tblLayout w:type="fixed"/>
        <w:tblLook w:val="04A0" w:firstRow="1" w:lastRow="0" w:firstColumn="1" w:lastColumn="0" w:noHBand="0" w:noVBand="1"/>
      </w:tblPr>
      <w:tblGrid>
        <w:gridCol w:w="4393"/>
      </w:tblGrid>
      <w:tr w:rsidR="00436D14" w:rsidRPr="00012637" w14:paraId="5AAC6CF2" w14:textId="77777777" w:rsidTr="000142F9">
        <w:trPr>
          <w:jc w:val="center"/>
        </w:trPr>
        <w:tc>
          <w:tcPr>
            <w:tcW w:w="4393" w:type="dxa"/>
          </w:tcPr>
          <w:p w14:paraId="6357958E" w14:textId="77777777" w:rsidR="00B04471" w:rsidRDefault="00B04471" w:rsidP="000142F9">
            <w:pPr>
              <w:jc w:val="center"/>
              <w:rPr>
                <w:rFonts w:ascii="Palatino Linotype" w:hAnsi="Palatino Linotype"/>
                <w:b/>
              </w:rPr>
            </w:pPr>
          </w:p>
          <w:p w14:paraId="32116724" w14:textId="77777777" w:rsidR="00B04471" w:rsidRDefault="00B04471" w:rsidP="000142F9">
            <w:pPr>
              <w:jc w:val="center"/>
              <w:rPr>
                <w:rFonts w:ascii="Palatino Linotype" w:hAnsi="Palatino Linotype"/>
                <w:b/>
              </w:rPr>
            </w:pPr>
          </w:p>
          <w:p w14:paraId="2685DBE2" w14:textId="77777777" w:rsidR="00B04471" w:rsidRDefault="00B04471" w:rsidP="000142F9">
            <w:pPr>
              <w:jc w:val="center"/>
              <w:rPr>
                <w:rFonts w:ascii="Palatino Linotype" w:hAnsi="Palatino Linotype"/>
                <w:b/>
              </w:rPr>
            </w:pPr>
          </w:p>
          <w:p w14:paraId="20599A1F" w14:textId="77777777" w:rsidR="00436D14" w:rsidRPr="00012637" w:rsidRDefault="00436D14" w:rsidP="000142F9">
            <w:pPr>
              <w:jc w:val="center"/>
              <w:rPr>
                <w:rFonts w:ascii="Palatino Linotype" w:hAnsi="Palatino Linotype"/>
                <w:b/>
              </w:rPr>
            </w:pPr>
            <w:r w:rsidRPr="00012637">
              <w:rPr>
                <w:rFonts w:ascii="Palatino Linotype" w:hAnsi="Palatino Linotype"/>
                <w:b/>
              </w:rPr>
              <w:t>EVA ABAID YAPUR</w:t>
            </w:r>
          </w:p>
          <w:p w14:paraId="789E1CF8" w14:textId="77777777" w:rsidR="00436D14" w:rsidRDefault="00436D14" w:rsidP="00B04471">
            <w:pPr>
              <w:jc w:val="center"/>
              <w:rPr>
                <w:rFonts w:ascii="Palatino Linotype" w:hAnsi="Palatino Linotype"/>
                <w:b/>
              </w:rPr>
            </w:pPr>
            <w:r w:rsidRPr="00012637">
              <w:rPr>
                <w:rFonts w:ascii="Palatino Linotype" w:hAnsi="Palatino Linotype"/>
                <w:b/>
              </w:rPr>
              <w:t>COMISIONADA</w:t>
            </w:r>
          </w:p>
          <w:p w14:paraId="40BC7A99" w14:textId="77777777" w:rsidR="00DB4847" w:rsidRDefault="00DB4847" w:rsidP="00B04471">
            <w:pPr>
              <w:jc w:val="center"/>
              <w:rPr>
                <w:rFonts w:ascii="Palatino Linotype" w:hAnsi="Palatino Linotype"/>
                <w:b/>
              </w:rPr>
            </w:pPr>
            <w:r>
              <w:rPr>
                <w:rFonts w:ascii="Palatino Linotype" w:hAnsi="Palatino Linotype"/>
                <w:b/>
              </w:rPr>
              <w:t>(RÚBRICA)</w:t>
            </w:r>
          </w:p>
          <w:p w14:paraId="78C28D1C" w14:textId="64CA5219" w:rsidR="00DB4847" w:rsidRPr="00012637" w:rsidRDefault="00DB4847" w:rsidP="00B04471">
            <w:pPr>
              <w:jc w:val="center"/>
              <w:rPr>
                <w:rFonts w:ascii="Palatino Linotype" w:hAnsi="Palatino Linotype"/>
                <w:b/>
              </w:rPr>
            </w:pPr>
            <w:bookmarkStart w:id="0" w:name="_GoBack"/>
            <w:bookmarkEnd w:id="0"/>
          </w:p>
        </w:tc>
      </w:tr>
    </w:tbl>
    <w:p w14:paraId="4B317489" w14:textId="77777777" w:rsidR="00A549D8" w:rsidRPr="00B04471" w:rsidRDefault="00436D14" w:rsidP="00432F3D">
      <w:pPr>
        <w:jc w:val="both"/>
        <w:rPr>
          <w:rFonts w:ascii="Palatino Linotype" w:eastAsia="Calibri" w:hAnsi="Palatino Linotype" w:cs="Arial"/>
          <w:color w:val="000000" w:themeColor="text1"/>
          <w:sz w:val="8"/>
        </w:rPr>
      </w:pPr>
      <w:r w:rsidRPr="00B04471">
        <w:rPr>
          <w:rFonts w:ascii="Palatino Linotype" w:eastAsia="Calibri" w:hAnsi="Palatino Linotype" w:cs="Arial"/>
          <w:color w:val="000000" w:themeColor="text1"/>
          <w:sz w:val="18"/>
        </w:rPr>
        <w:t>Esta hoja corresponde a la opinión particular emitid</w:t>
      </w:r>
      <w:r w:rsidR="009124C5" w:rsidRPr="00B04471">
        <w:rPr>
          <w:rFonts w:ascii="Palatino Linotype" w:eastAsia="Calibri" w:hAnsi="Palatino Linotype" w:cs="Arial"/>
          <w:color w:val="000000" w:themeColor="text1"/>
          <w:sz w:val="18"/>
        </w:rPr>
        <w:t>a</w:t>
      </w:r>
      <w:r w:rsidRPr="00B04471">
        <w:rPr>
          <w:rFonts w:ascii="Palatino Linotype" w:eastAsia="Calibri" w:hAnsi="Palatino Linotype" w:cs="Arial"/>
          <w:color w:val="000000" w:themeColor="text1"/>
          <w:sz w:val="18"/>
        </w:rPr>
        <w:t xml:space="preserve"> en </w:t>
      </w:r>
      <w:r w:rsidR="009124C5" w:rsidRPr="00B04471">
        <w:rPr>
          <w:rFonts w:ascii="Palatino Linotype" w:eastAsia="Calibri" w:hAnsi="Palatino Linotype" w:cs="Arial"/>
          <w:color w:val="000000" w:themeColor="text1"/>
          <w:sz w:val="18"/>
        </w:rPr>
        <w:t xml:space="preserve">la resolución </w:t>
      </w:r>
      <w:r w:rsidR="000142F9" w:rsidRPr="00B04471">
        <w:rPr>
          <w:rFonts w:ascii="Palatino Linotype" w:eastAsia="Calibri" w:hAnsi="Palatino Linotype" w:cs="Arial"/>
          <w:color w:val="000000" w:themeColor="text1"/>
          <w:sz w:val="18"/>
        </w:rPr>
        <w:t>d</w:t>
      </w:r>
      <w:r w:rsidRPr="00B04471">
        <w:rPr>
          <w:rFonts w:ascii="Palatino Linotype" w:eastAsia="Calibri" w:hAnsi="Palatino Linotype" w:cs="Arial"/>
          <w:color w:val="000000" w:themeColor="text1"/>
          <w:sz w:val="18"/>
        </w:rPr>
        <w:t>e</w:t>
      </w:r>
      <w:r w:rsidR="000142F9" w:rsidRPr="00B04471">
        <w:rPr>
          <w:rFonts w:ascii="Palatino Linotype" w:eastAsia="Calibri" w:hAnsi="Palatino Linotype" w:cs="Arial"/>
          <w:color w:val="000000" w:themeColor="text1"/>
          <w:sz w:val="18"/>
        </w:rPr>
        <w:t xml:space="preserve"> </w:t>
      </w:r>
      <w:r w:rsidRPr="00B04471">
        <w:rPr>
          <w:rFonts w:ascii="Palatino Linotype" w:eastAsia="Calibri" w:hAnsi="Palatino Linotype" w:cs="Arial"/>
          <w:color w:val="000000" w:themeColor="text1"/>
          <w:sz w:val="18"/>
        </w:rPr>
        <w:t>l</w:t>
      </w:r>
      <w:r w:rsidR="000142F9" w:rsidRPr="00B04471">
        <w:rPr>
          <w:rFonts w:ascii="Palatino Linotype" w:eastAsia="Calibri" w:hAnsi="Palatino Linotype" w:cs="Arial"/>
          <w:color w:val="000000" w:themeColor="text1"/>
          <w:sz w:val="18"/>
        </w:rPr>
        <w:t>os</w:t>
      </w:r>
      <w:r w:rsidRPr="00B04471">
        <w:rPr>
          <w:rFonts w:ascii="Palatino Linotype" w:eastAsia="Calibri" w:hAnsi="Palatino Linotype" w:cs="Arial"/>
          <w:color w:val="000000" w:themeColor="text1"/>
          <w:sz w:val="18"/>
        </w:rPr>
        <w:t xml:space="preserve"> recurso</w:t>
      </w:r>
      <w:r w:rsidR="000142F9" w:rsidRPr="00B04471">
        <w:rPr>
          <w:rFonts w:ascii="Palatino Linotype" w:eastAsia="Calibri" w:hAnsi="Palatino Linotype" w:cs="Arial"/>
          <w:color w:val="000000" w:themeColor="text1"/>
          <w:sz w:val="18"/>
        </w:rPr>
        <w:t>s</w:t>
      </w:r>
      <w:r w:rsidRPr="00B04471">
        <w:rPr>
          <w:rFonts w:ascii="Palatino Linotype" w:eastAsia="Calibri" w:hAnsi="Palatino Linotype" w:cs="Arial"/>
          <w:color w:val="000000" w:themeColor="text1"/>
          <w:sz w:val="18"/>
        </w:rPr>
        <w:t xml:space="preserve"> de revisión</w:t>
      </w:r>
      <w:r w:rsidR="000142F9" w:rsidRPr="00B04471">
        <w:rPr>
          <w:rFonts w:ascii="Palatino Linotype" w:eastAsia="Calibri" w:hAnsi="Palatino Linotype" w:cs="Arial"/>
          <w:color w:val="000000" w:themeColor="text1"/>
          <w:sz w:val="18"/>
        </w:rPr>
        <w:t xml:space="preserve"> </w:t>
      </w:r>
      <w:r w:rsidR="000142F9" w:rsidRPr="00B04471">
        <w:rPr>
          <w:rFonts w:ascii="Palatino Linotype" w:eastAsia="Calibri" w:hAnsi="Palatino Linotype" w:cs="Arial"/>
          <w:color w:val="000000" w:themeColor="text1"/>
          <w:spacing w:val="-20"/>
          <w:sz w:val="18"/>
        </w:rPr>
        <w:t>02773/INFOEM/IP/RR/2018</w:t>
      </w:r>
      <w:r w:rsidR="000142F9" w:rsidRPr="00B04471">
        <w:rPr>
          <w:rFonts w:ascii="Palatino Linotype" w:eastAsia="Calibri" w:hAnsi="Palatino Linotype" w:cs="Arial"/>
          <w:color w:val="000000" w:themeColor="text1"/>
          <w:sz w:val="18"/>
        </w:rPr>
        <w:t xml:space="preserve">, </w:t>
      </w:r>
      <w:r w:rsidR="000142F9" w:rsidRPr="00B04471">
        <w:rPr>
          <w:rFonts w:ascii="Palatino Linotype" w:eastAsia="Calibri" w:hAnsi="Palatino Linotype" w:cs="Arial"/>
          <w:color w:val="000000" w:themeColor="text1"/>
          <w:spacing w:val="-20"/>
          <w:sz w:val="18"/>
        </w:rPr>
        <w:t>02774/INFOEM/IP/RR/2018</w:t>
      </w:r>
      <w:r w:rsidR="000142F9" w:rsidRPr="00B04471">
        <w:rPr>
          <w:rFonts w:ascii="Palatino Linotype" w:eastAsia="Calibri" w:hAnsi="Palatino Linotype" w:cs="Arial"/>
          <w:color w:val="000000" w:themeColor="text1"/>
          <w:sz w:val="18"/>
        </w:rPr>
        <w:t xml:space="preserve"> y </w:t>
      </w:r>
      <w:r w:rsidR="000142F9" w:rsidRPr="00B04471">
        <w:rPr>
          <w:rFonts w:ascii="Palatino Linotype" w:eastAsia="Calibri" w:hAnsi="Palatino Linotype" w:cs="Arial"/>
          <w:color w:val="000000" w:themeColor="text1"/>
          <w:spacing w:val="-20"/>
          <w:sz w:val="18"/>
        </w:rPr>
        <w:t>02775/INFOEM/IP/RR/2018</w:t>
      </w:r>
      <w:r w:rsidR="000142F9" w:rsidRPr="00B04471">
        <w:rPr>
          <w:rFonts w:ascii="Palatino Linotype" w:eastAsia="Calibri" w:hAnsi="Palatino Linotype" w:cs="Arial"/>
          <w:color w:val="000000" w:themeColor="text1"/>
          <w:sz w:val="18"/>
        </w:rPr>
        <w:t xml:space="preserve"> acumulados</w:t>
      </w:r>
      <w:r w:rsidRPr="00B04471">
        <w:rPr>
          <w:rFonts w:ascii="Palatino Linotype" w:eastAsia="Calibri" w:hAnsi="Palatino Linotype" w:cs="Arial"/>
          <w:color w:val="000000" w:themeColor="text1"/>
          <w:sz w:val="18"/>
        </w:rPr>
        <w:t>, aprobad</w:t>
      </w:r>
      <w:r w:rsidR="009124C5" w:rsidRPr="00B04471">
        <w:rPr>
          <w:rFonts w:ascii="Palatino Linotype" w:eastAsia="Calibri" w:hAnsi="Palatino Linotype" w:cs="Arial"/>
          <w:color w:val="000000" w:themeColor="text1"/>
          <w:sz w:val="18"/>
        </w:rPr>
        <w:t>a</w:t>
      </w:r>
      <w:r w:rsidRPr="00B04471">
        <w:rPr>
          <w:rFonts w:ascii="Palatino Linotype" w:eastAsia="Calibri" w:hAnsi="Palatino Linotype" w:cs="Arial"/>
          <w:color w:val="000000" w:themeColor="text1"/>
          <w:sz w:val="18"/>
        </w:rPr>
        <w:t xml:space="preserve"> el </w:t>
      </w:r>
      <w:r w:rsidR="000142F9" w:rsidRPr="00B04471">
        <w:rPr>
          <w:rFonts w:ascii="Palatino Linotype" w:eastAsia="Calibri" w:hAnsi="Palatino Linotype" w:cs="Arial"/>
          <w:color w:val="000000" w:themeColor="text1"/>
          <w:sz w:val="18"/>
        </w:rPr>
        <w:t>veintidós de noviembre de d</w:t>
      </w:r>
      <w:r w:rsidRPr="00B04471">
        <w:rPr>
          <w:rFonts w:ascii="Palatino Linotype" w:eastAsia="Calibri" w:hAnsi="Palatino Linotype" w:cs="Arial"/>
          <w:color w:val="000000" w:themeColor="text1"/>
          <w:sz w:val="18"/>
        </w:rPr>
        <w:t xml:space="preserve">os mil dieciocho. </w:t>
      </w:r>
    </w:p>
    <w:p w14:paraId="5667B012" w14:textId="43507CEB" w:rsidR="00CD311D" w:rsidRPr="00B04471" w:rsidRDefault="00436D14" w:rsidP="00432F3D">
      <w:pPr>
        <w:jc w:val="both"/>
        <w:rPr>
          <w:rFonts w:ascii="Palatino Linotype" w:eastAsia="Calibri" w:hAnsi="Palatino Linotype" w:cs="Arial"/>
          <w:color w:val="000000" w:themeColor="text1"/>
          <w:sz w:val="20"/>
        </w:rPr>
      </w:pPr>
      <w:r w:rsidRPr="00B04471">
        <w:rPr>
          <w:rFonts w:ascii="Palatino Linotype" w:eastAsia="Calibri" w:hAnsi="Palatino Linotype" w:cs="Arial"/>
          <w:color w:val="000000" w:themeColor="text1"/>
          <w:sz w:val="18"/>
        </w:rPr>
        <w:t>YSM/</w:t>
      </w:r>
      <w:r w:rsidR="009124C5" w:rsidRPr="00B04471">
        <w:rPr>
          <w:rFonts w:ascii="Palatino Linotype" w:eastAsia="Calibri" w:hAnsi="Palatino Linotype" w:cs="Arial"/>
          <w:color w:val="000000" w:themeColor="text1"/>
          <w:sz w:val="18"/>
        </w:rPr>
        <w:t>ATU</w:t>
      </w:r>
    </w:p>
    <w:sectPr w:rsidR="00CD311D" w:rsidRPr="00B04471" w:rsidSect="00BC7955">
      <w:headerReference w:type="even" r:id="rId8"/>
      <w:headerReference w:type="default" r:id="rId9"/>
      <w:footerReference w:type="default" r:id="rId10"/>
      <w:headerReference w:type="first" r:id="rId11"/>
      <w:pgSz w:w="12240" w:h="15840"/>
      <w:pgMar w:top="2410" w:right="1418" w:bottom="2552"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E7D98" w14:textId="77777777" w:rsidR="002D64CA" w:rsidRDefault="002D64CA" w:rsidP="00C80F8C">
      <w:r>
        <w:separator/>
      </w:r>
    </w:p>
  </w:endnote>
  <w:endnote w:type="continuationSeparator" w:id="0">
    <w:p w14:paraId="2EB64643" w14:textId="77777777" w:rsidR="002D64CA" w:rsidRDefault="002D64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40BE79D6"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B4847">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B4847">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B2C32" w14:textId="77777777" w:rsidR="002D64CA" w:rsidRDefault="002D64CA" w:rsidP="00C80F8C">
      <w:r>
        <w:separator/>
      </w:r>
    </w:p>
  </w:footnote>
  <w:footnote w:type="continuationSeparator" w:id="0">
    <w:p w14:paraId="0A854534" w14:textId="77777777" w:rsidR="002D64CA" w:rsidRDefault="002D64C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DB4847">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0F10625"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36D63CE">
          <wp:simplePos x="0" y="0"/>
          <wp:positionH relativeFrom="column">
            <wp:posOffset>-669925</wp:posOffset>
          </wp:positionH>
          <wp:positionV relativeFrom="paragraph">
            <wp:posOffset>-204857</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B61D73" w14:textId="0C8E5779" w:rsidR="0034309A" w:rsidRDefault="00323C78" w:rsidP="007F1C25">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OPINIÓN</w:t>
    </w:r>
    <w:r w:rsidR="0034309A" w:rsidRPr="006F01F2">
      <w:rPr>
        <w:rFonts w:ascii="Palatino Linotype" w:hAnsi="Palatino Linotype" w:cs="Arial"/>
        <w:sz w:val="20"/>
        <w:szCs w:val="20"/>
      </w:rPr>
      <w:t xml:space="preserve"> PARTICULAR</w:t>
    </w:r>
  </w:p>
  <w:p w14:paraId="65C17EC0" w14:textId="5F292D2D" w:rsidR="00284013" w:rsidRDefault="0034309A" w:rsidP="007F1C25">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RECURSO</w:t>
    </w:r>
    <w:r w:rsidR="00284013">
      <w:rPr>
        <w:rFonts w:ascii="Palatino Linotype" w:hAnsi="Palatino Linotype" w:cs="Arial"/>
        <w:sz w:val="20"/>
        <w:szCs w:val="20"/>
      </w:rPr>
      <w:t>S</w:t>
    </w:r>
    <w:r w:rsidRPr="00706042">
      <w:rPr>
        <w:rFonts w:ascii="Palatino Linotype" w:hAnsi="Palatino Linotype" w:cs="Arial"/>
        <w:sz w:val="20"/>
        <w:szCs w:val="20"/>
      </w:rPr>
      <w:t xml:space="preserve"> DE REVISIÓN </w:t>
    </w:r>
    <w:r w:rsidR="00284013" w:rsidRPr="00284013">
      <w:rPr>
        <w:rFonts w:ascii="Palatino Linotype" w:hAnsi="Palatino Linotype" w:cs="Arial"/>
        <w:sz w:val="20"/>
        <w:szCs w:val="20"/>
      </w:rPr>
      <w:t xml:space="preserve">02773/INFOEM/IP/RR/2018, </w:t>
    </w:r>
  </w:p>
  <w:p w14:paraId="71104997" w14:textId="5DB46D16" w:rsidR="00634485" w:rsidRDefault="00284013" w:rsidP="007F1C25">
    <w:pPr>
      <w:pStyle w:val="Encabezado"/>
      <w:tabs>
        <w:tab w:val="clear" w:pos="4252"/>
        <w:tab w:val="clear" w:pos="8504"/>
        <w:tab w:val="left" w:pos="2326"/>
      </w:tabs>
      <w:ind w:right="-93"/>
      <w:jc w:val="right"/>
      <w:rPr>
        <w:rFonts w:ascii="Palatino Linotype" w:hAnsi="Palatino Linotype" w:cs="Arial"/>
        <w:sz w:val="20"/>
        <w:szCs w:val="20"/>
      </w:rPr>
    </w:pPr>
    <w:r w:rsidRPr="00284013">
      <w:rPr>
        <w:rFonts w:ascii="Palatino Linotype" w:hAnsi="Palatino Linotype" w:cs="Arial"/>
        <w:sz w:val="20"/>
        <w:szCs w:val="20"/>
      </w:rPr>
      <w:t>02774/INFOEM/IP/RR/2018 Y 02775/INFOEM/IP/RR/2018</w:t>
    </w:r>
  </w:p>
  <w:p w14:paraId="333995A2" w14:textId="6985A5B6" w:rsidR="0030072F" w:rsidRDefault="00DB4847" w:rsidP="00012637">
    <w:pPr>
      <w:pStyle w:val="Encabezado"/>
      <w:tabs>
        <w:tab w:val="clear" w:pos="4252"/>
        <w:tab w:val="clear" w:pos="8504"/>
        <w:tab w:val="left" w:pos="2326"/>
      </w:tabs>
      <w:spacing w:after="240"/>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0;margin-top:0;width:627.55pt;height:80.5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DB4847">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7">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1"/>
  </w:num>
  <w:num w:numId="4">
    <w:abstractNumId w:val="1"/>
  </w:num>
  <w:num w:numId="5">
    <w:abstractNumId w:val="14"/>
  </w:num>
  <w:num w:numId="6">
    <w:abstractNumId w:val="12"/>
  </w:num>
  <w:num w:numId="7">
    <w:abstractNumId w:val="0"/>
  </w:num>
  <w:num w:numId="8">
    <w:abstractNumId w:val="8"/>
  </w:num>
  <w:num w:numId="9">
    <w:abstractNumId w:val="10"/>
  </w:num>
  <w:num w:numId="10">
    <w:abstractNumId w:val="7"/>
  </w:num>
  <w:num w:numId="11">
    <w:abstractNumId w:val="15"/>
  </w:num>
  <w:num w:numId="12">
    <w:abstractNumId w:val="5"/>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F8F"/>
    <w:rsid w:val="00012637"/>
    <w:rsid w:val="000142F9"/>
    <w:rsid w:val="00016039"/>
    <w:rsid w:val="0001751C"/>
    <w:rsid w:val="00017D16"/>
    <w:rsid w:val="000412FB"/>
    <w:rsid w:val="00052FFC"/>
    <w:rsid w:val="00055107"/>
    <w:rsid w:val="0006079D"/>
    <w:rsid w:val="00070325"/>
    <w:rsid w:val="0007653D"/>
    <w:rsid w:val="00082101"/>
    <w:rsid w:val="0008542A"/>
    <w:rsid w:val="0008745A"/>
    <w:rsid w:val="00092678"/>
    <w:rsid w:val="00095B30"/>
    <w:rsid w:val="00095F2F"/>
    <w:rsid w:val="000A0C0B"/>
    <w:rsid w:val="000A4C89"/>
    <w:rsid w:val="000B3FFD"/>
    <w:rsid w:val="000B6BFB"/>
    <w:rsid w:val="000C4453"/>
    <w:rsid w:val="000C7675"/>
    <w:rsid w:val="000D136C"/>
    <w:rsid w:val="000D66DE"/>
    <w:rsid w:val="000E2B1A"/>
    <w:rsid w:val="000E4C17"/>
    <w:rsid w:val="00102EEC"/>
    <w:rsid w:val="0010583C"/>
    <w:rsid w:val="001059D0"/>
    <w:rsid w:val="001103AD"/>
    <w:rsid w:val="00115C54"/>
    <w:rsid w:val="00117749"/>
    <w:rsid w:val="00117970"/>
    <w:rsid w:val="00123644"/>
    <w:rsid w:val="001305C0"/>
    <w:rsid w:val="00136CF7"/>
    <w:rsid w:val="0013735C"/>
    <w:rsid w:val="00137CA1"/>
    <w:rsid w:val="00140058"/>
    <w:rsid w:val="00145492"/>
    <w:rsid w:val="00153E3A"/>
    <w:rsid w:val="0015435D"/>
    <w:rsid w:val="001634A6"/>
    <w:rsid w:val="00175DEE"/>
    <w:rsid w:val="001768C5"/>
    <w:rsid w:val="00177CD8"/>
    <w:rsid w:val="0018441E"/>
    <w:rsid w:val="00187FFD"/>
    <w:rsid w:val="001940B0"/>
    <w:rsid w:val="001950C9"/>
    <w:rsid w:val="001A5351"/>
    <w:rsid w:val="001A58CF"/>
    <w:rsid w:val="001D1601"/>
    <w:rsid w:val="001E757E"/>
    <w:rsid w:val="001E763C"/>
    <w:rsid w:val="00202137"/>
    <w:rsid w:val="002314AA"/>
    <w:rsid w:val="0023504D"/>
    <w:rsid w:val="00237A37"/>
    <w:rsid w:val="0024119C"/>
    <w:rsid w:val="002473C6"/>
    <w:rsid w:val="0025202C"/>
    <w:rsid w:val="002562CC"/>
    <w:rsid w:val="00264F64"/>
    <w:rsid w:val="00284013"/>
    <w:rsid w:val="002940F8"/>
    <w:rsid w:val="002A50EF"/>
    <w:rsid w:val="002B0DA6"/>
    <w:rsid w:val="002B7856"/>
    <w:rsid w:val="002C3476"/>
    <w:rsid w:val="002D3952"/>
    <w:rsid w:val="002D3BBD"/>
    <w:rsid w:val="002D4526"/>
    <w:rsid w:val="002D64CA"/>
    <w:rsid w:val="002D69E1"/>
    <w:rsid w:val="002D72E2"/>
    <w:rsid w:val="002E3BEA"/>
    <w:rsid w:val="002E5711"/>
    <w:rsid w:val="0030072F"/>
    <w:rsid w:val="00304303"/>
    <w:rsid w:val="00305065"/>
    <w:rsid w:val="003056D9"/>
    <w:rsid w:val="003102FA"/>
    <w:rsid w:val="00321947"/>
    <w:rsid w:val="00323C78"/>
    <w:rsid w:val="00333F03"/>
    <w:rsid w:val="00334249"/>
    <w:rsid w:val="00340619"/>
    <w:rsid w:val="0034309A"/>
    <w:rsid w:val="00346360"/>
    <w:rsid w:val="003465DB"/>
    <w:rsid w:val="00351129"/>
    <w:rsid w:val="0037279D"/>
    <w:rsid w:val="0037321B"/>
    <w:rsid w:val="003A6F70"/>
    <w:rsid w:val="003C23BE"/>
    <w:rsid w:val="003C28FC"/>
    <w:rsid w:val="003C2D10"/>
    <w:rsid w:val="003C7226"/>
    <w:rsid w:val="003D1C14"/>
    <w:rsid w:val="003E00BF"/>
    <w:rsid w:val="003E5603"/>
    <w:rsid w:val="003F4C9C"/>
    <w:rsid w:val="00410D1F"/>
    <w:rsid w:val="004132A6"/>
    <w:rsid w:val="00414E48"/>
    <w:rsid w:val="00414E7B"/>
    <w:rsid w:val="004179B7"/>
    <w:rsid w:val="00426458"/>
    <w:rsid w:val="004315BB"/>
    <w:rsid w:val="00432F3D"/>
    <w:rsid w:val="00436D14"/>
    <w:rsid w:val="0044271B"/>
    <w:rsid w:val="00442D69"/>
    <w:rsid w:val="00443646"/>
    <w:rsid w:val="0044475B"/>
    <w:rsid w:val="00446F33"/>
    <w:rsid w:val="00455CB3"/>
    <w:rsid w:val="00464462"/>
    <w:rsid w:val="004661D2"/>
    <w:rsid w:val="004776FF"/>
    <w:rsid w:val="00497C94"/>
    <w:rsid w:val="004A06A4"/>
    <w:rsid w:val="004B6075"/>
    <w:rsid w:val="004B7325"/>
    <w:rsid w:val="004C40EA"/>
    <w:rsid w:val="004C64D9"/>
    <w:rsid w:val="004D0A26"/>
    <w:rsid w:val="00500FFD"/>
    <w:rsid w:val="00516914"/>
    <w:rsid w:val="005225CF"/>
    <w:rsid w:val="005236B6"/>
    <w:rsid w:val="00530548"/>
    <w:rsid w:val="005318AB"/>
    <w:rsid w:val="005321E3"/>
    <w:rsid w:val="00537080"/>
    <w:rsid w:val="00562649"/>
    <w:rsid w:val="00575235"/>
    <w:rsid w:val="0058067E"/>
    <w:rsid w:val="0058639E"/>
    <w:rsid w:val="005870DF"/>
    <w:rsid w:val="005937C3"/>
    <w:rsid w:val="005A7DB4"/>
    <w:rsid w:val="005B773B"/>
    <w:rsid w:val="005C66D4"/>
    <w:rsid w:val="005C6F83"/>
    <w:rsid w:val="005D14C4"/>
    <w:rsid w:val="005D1946"/>
    <w:rsid w:val="005D2C85"/>
    <w:rsid w:val="00612544"/>
    <w:rsid w:val="00623E10"/>
    <w:rsid w:val="00634485"/>
    <w:rsid w:val="00636B4A"/>
    <w:rsid w:val="00646A97"/>
    <w:rsid w:val="00672211"/>
    <w:rsid w:val="0067530B"/>
    <w:rsid w:val="006824EF"/>
    <w:rsid w:val="00683443"/>
    <w:rsid w:val="00684492"/>
    <w:rsid w:val="00694EB3"/>
    <w:rsid w:val="006967D4"/>
    <w:rsid w:val="006A3864"/>
    <w:rsid w:val="006A496D"/>
    <w:rsid w:val="006C0991"/>
    <w:rsid w:val="006C33BB"/>
    <w:rsid w:val="006D55AC"/>
    <w:rsid w:val="006E6389"/>
    <w:rsid w:val="006F1F0F"/>
    <w:rsid w:val="006F30F8"/>
    <w:rsid w:val="006F6AD0"/>
    <w:rsid w:val="00703ACA"/>
    <w:rsid w:val="00712BC2"/>
    <w:rsid w:val="0071346B"/>
    <w:rsid w:val="00721966"/>
    <w:rsid w:val="00724599"/>
    <w:rsid w:val="007302DE"/>
    <w:rsid w:val="00736C06"/>
    <w:rsid w:val="007378FE"/>
    <w:rsid w:val="007416E3"/>
    <w:rsid w:val="00742010"/>
    <w:rsid w:val="00745414"/>
    <w:rsid w:val="00753108"/>
    <w:rsid w:val="007541AF"/>
    <w:rsid w:val="00772360"/>
    <w:rsid w:val="007A4AB6"/>
    <w:rsid w:val="007B1231"/>
    <w:rsid w:val="007B6E55"/>
    <w:rsid w:val="007C0FDA"/>
    <w:rsid w:val="007C3C0E"/>
    <w:rsid w:val="007C7551"/>
    <w:rsid w:val="007D07CC"/>
    <w:rsid w:val="007D0FEE"/>
    <w:rsid w:val="007D29A5"/>
    <w:rsid w:val="007E545F"/>
    <w:rsid w:val="007F1C25"/>
    <w:rsid w:val="007F3CD0"/>
    <w:rsid w:val="007F59D5"/>
    <w:rsid w:val="008217CD"/>
    <w:rsid w:val="00832A39"/>
    <w:rsid w:val="00846A21"/>
    <w:rsid w:val="00875BCA"/>
    <w:rsid w:val="00875BD4"/>
    <w:rsid w:val="00884669"/>
    <w:rsid w:val="00892AFC"/>
    <w:rsid w:val="008A014C"/>
    <w:rsid w:val="008A52BF"/>
    <w:rsid w:val="008C0700"/>
    <w:rsid w:val="008C0C70"/>
    <w:rsid w:val="008C17F2"/>
    <w:rsid w:val="008D1526"/>
    <w:rsid w:val="008D584A"/>
    <w:rsid w:val="009124C5"/>
    <w:rsid w:val="00926A92"/>
    <w:rsid w:val="0093343E"/>
    <w:rsid w:val="00953EC8"/>
    <w:rsid w:val="00966E59"/>
    <w:rsid w:val="009754EC"/>
    <w:rsid w:val="00975666"/>
    <w:rsid w:val="00975AA3"/>
    <w:rsid w:val="00975EB9"/>
    <w:rsid w:val="009773AF"/>
    <w:rsid w:val="00982F97"/>
    <w:rsid w:val="00986740"/>
    <w:rsid w:val="009A271C"/>
    <w:rsid w:val="009A67F5"/>
    <w:rsid w:val="009B26A2"/>
    <w:rsid w:val="009B56BC"/>
    <w:rsid w:val="009B65F4"/>
    <w:rsid w:val="009C2F32"/>
    <w:rsid w:val="009C46BF"/>
    <w:rsid w:val="009D63A9"/>
    <w:rsid w:val="009E053A"/>
    <w:rsid w:val="009E4507"/>
    <w:rsid w:val="009E5EDA"/>
    <w:rsid w:val="009F4491"/>
    <w:rsid w:val="009F5E60"/>
    <w:rsid w:val="00A032F1"/>
    <w:rsid w:val="00A04C79"/>
    <w:rsid w:val="00A14B1D"/>
    <w:rsid w:val="00A15CC3"/>
    <w:rsid w:val="00A40057"/>
    <w:rsid w:val="00A4593D"/>
    <w:rsid w:val="00A53958"/>
    <w:rsid w:val="00A549D8"/>
    <w:rsid w:val="00A5532D"/>
    <w:rsid w:val="00A60D1E"/>
    <w:rsid w:val="00A6649D"/>
    <w:rsid w:val="00A67C9B"/>
    <w:rsid w:val="00A7039C"/>
    <w:rsid w:val="00A81140"/>
    <w:rsid w:val="00A824CA"/>
    <w:rsid w:val="00A834B3"/>
    <w:rsid w:val="00A91735"/>
    <w:rsid w:val="00AB21DA"/>
    <w:rsid w:val="00AB400C"/>
    <w:rsid w:val="00AC248E"/>
    <w:rsid w:val="00AC3F99"/>
    <w:rsid w:val="00AC49EF"/>
    <w:rsid w:val="00AD5C51"/>
    <w:rsid w:val="00AD6AAD"/>
    <w:rsid w:val="00AE2B18"/>
    <w:rsid w:val="00AE40F0"/>
    <w:rsid w:val="00AF0B38"/>
    <w:rsid w:val="00AF3F82"/>
    <w:rsid w:val="00B04471"/>
    <w:rsid w:val="00B132CE"/>
    <w:rsid w:val="00B151A8"/>
    <w:rsid w:val="00B27BE5"/>
    <w:rsid w:val="00B27F2D"/>
    <w:rsid w:val="00B301D6"/>
    <w:rsid w:val="00B337A5"/>
    <w:rsid w:val="00B33ED0"/>
    <w:rsid w:val="00B35A45"/>
    <w:rsid w:val="00B4641E"/>
    <w:rsid w:val="00B46E78"/>
    <w:rsid w:val="00B5072E"/>
    <w:rsid w:val="00B53290"/>
    <w:rsid w:val="00B57FE6"/>
    <w:rsid w:val="00B64C77"/>
    <w:rsid w:val="00B650A8"/>
    <w:rsid w:val="00B80485"/>
    <w:rsid w:val="00B95BF7"/>
    <w:rsid w:val="00BA3108"/>
    <w:rsid w:val="00BC5D71"/>
    <w:rsid w:val="00BC7955"/>
    <w:rsid w:val="00BD7483"/>
    <w:rsid w:val="00BE56A5"/>
    <w:rsid w:val="00BF5A25"/>
    <w:rsid w:val="00C03924"/>
    <w:rsid w:val="00C1644D"/>
    <w:rsid w:val="00C30621"/>
    <w:rsid w:val="00C307F0"/>
    <w:rsid w:val="00C34242"/>
    <w:rsid w:val="00C42F33"/>
    <w:rsid w:val="00C4493E"/>
    <w:rsid w:val="00C71FC9"/>
    <w:rsid w:val="00C766EF"/>
    <w:rsid w:val="00C80F8C"/>
    <w:rsid w:val="00C92380"/>
    <w:rsid w:val="00C934CD"/>
    <w:rsid w:val="00CA047D"/>
    <w:rsid w:val="00CA7BF4"/>
    <w:rsid w:val="00CB4AA5"/>
    <w:rsid w:val="00CC1869"/>
    <w:rsid w:val="00CC5EAB"/>
    <w:rsid w:val="00CC7F23"/>
    <w:rsid w:val="00CD311D"/>
    <w:rsid w:val="00CF021E"/>
    <w:rsid w:val="00CF30E8"/>
    <w:rsid w:val="00D01B99"/>
    <w:rsid w:val="00D22D87"/>
    <w:rsid w:val="00D251A1"/>
    <w:rsid w:val="00D3189D"/>
    <w:rsid w:val="00D403FF"/>
    <w:rsid w:val="00D46C00"/>
    <w:rsid w:val="00D50660"/>
    <w:rsid w:val="00D5137E"/>
    <w:rsid w:val="00D526D7"/>
    <w:rsid w:val="00D557C2"/>
    <w:rsid w:val="00D55A3D"/>
    <w:rsid w:val="00D64F32"/>
    <w:rsid w:val="00D802AF"/>
    <w:rsid w:val="00D97494"/>
    <w:rsid w:val="00DA5209"/>
    <w:rsid w:val="00DB1B9A"/>
    <w:rsid w:val="00DB3EE3"/>
    <w:rsid w:val="00DB4847"/>
    <w:rsid w:val="00DD6A6C"/>
    <w:rsid w:val="00E010EE"/>
    <w:rsid w:val="00E025A3"/>
    <w:rsid w:val="00E10A96"/>
    <w:rsid w:val="00E146AA"/>
    <w:rsid w:val="00E27F2A"/>
    <w:rsid w:val="00E33A19"/>
    <w:rsid w:val="00E42755"/>
    <w:rsid w:val="00E43B8E"/>
    <w:rsid w:val="00E45B76"/>
    <w:rsid w:val="00E46383"/>
    <w:rsid w:val="00E50AAE"/>
    <w:rsid w:val="00E50E30"/>
    <w:rsid w:val="00E534E1"/>
    <w:rsid w:val="00E60FF4"/>
    <w:rsid w:val="00E76ECF"/>
    <w:rsid w:val="00E8209A"/>
    <w:rsid w:val="00E83E8C"/>
    <w:rsid w:val="00EA27CB"/>
    <w:rsid w:val="00EA5EEB"/>
    <w:rsid w:val="00EA7874"/>
    <w:rsid w:val="00EB07CC"/>
    <w:rsid w:val="00EB7480"/>
    <w:rsid w:val="00EB7DE6"/>
    <w:rsid w:val="00EB7F1A"/>
    <w:rsid w:val="00EC0002"/>
    <w:rsid w:val="00ED27BF"/>
    <w:rsid w:val="00ED5EE9"/>
    <w:rsid w:val="00F06505"/>
    <w:rsid w:val="00F1277E"/>
    <w:rsid w:val="00F33012"/>
    <w:rsid w:val="00F33D39"/>
    <w:rsid w:val="00F36CDE"/>
    <w:rsid w:val="00F44E84"/>
    <w:rsid w:val="00F548A9"/>
    <w:rsid w:val="00F54D8B"/>
    <w:rsid w:val="00F65E4C"/>
    <w:rsid w:val="00F735ED"/>
    <w:rsid w:val="00F85381"/>
    <w:rsid w:val="00F9624E"/>
    <w:rsid w:val="00FA52BB"/>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14DEAB5C-E8F4-4C67-AB66-1DB97393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2F8E3-21FA-4BA8-A072-33E2E204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2105</Words>
  <Characters>11582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2018-11-27T17:28:00Z</cp:lastPrinted>
  <dcterms:created xsi:type="dcterms:W3CDTF">2018-11-27T18:12:00Z</dcterms:created>
  <dcterms:modified xsi:type="dcterms:W3CDTF">2019-01-11T04:27:00Z</dcterms:modified>
</cp:coreProperties>
</file>